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PE21.000430 vom 24. August 2021</w:t>
      </w:r>
    </w:p>
    <w:p>
      <w:r>
        <w:t>VD Tribunal cantonal, 2021-08-24, FR</w:t>
      </w:r>
    </w:p>
    <w:p>
      <w:r>
        <w:rPr>
          <w:b/>
        </w:rPr>
        <w:t xml:space="preserve">Quelle: </w:t>
      </w:r>
      <w:r>
        <w:t>https://mcp.opencaselaw.ch/entscheid/vd_gerichte_PE21.000430</w:t>
      </w:r>
    </w:p>
    <w:p>
      <w:r>
        <w:t>FR: VD_GERICHTE PE21.000430 du 24 août 2021</w:t>
      </w:r>
    </w:p>
    <w:p>
      <w:r>
        <w:t>IT: VD_GERICHTE PE21.000430 del 24 agosto 2021</w:t>
      </w:r>
    </w:p>
    <w:p>
      <w:pPr>
        <w:pStyle w:val="Heading2"/>
      </w:pPr>
      <w:r>
        <w:t>Erwägungen</w:t>
      </w:r>
    </w:p>
    <w:p>
      <w:r>
        <w:rPr>
          <w:b/>
        </w:rPr>
        <w:t>E. 5.1</w:t>
      </w:r>
    </w:p>
    <w:p>
      <w:r>
        <w:t>L’appelant conteste enfin l’inscription de l’expulsion au Registre SIS, qui serait contraire au principe de la proportionnalité. Il serait certes multirécidiviste, mais les circonstances particulières qui l’auraient fait revenir en Suisse – à savoir sa future paternité – devraient modérer l’appréciation « brutale » des premiers juges. En outre, sa situation personnelle ne représenterait pas ou plus une menace pour l’ordre et la sécurité publics et les conditions pour procéder à l’inscription au SIS ne seraient ainsi pas réunies.</w:t>
      </w:r>
    </w:p>
    <w:p>
      <w:r>
        <w:rPr>
          <w:b/>
        </w:rPr>
        <w:t>E. 5.2</w:t>
      </w:r>
    </w:p>
    <w:p>
      <w:r>
        <w:t>Selon l’art. 20 de l’Ordonnance sur la partie nationale du Système d’information Schengen (N-SIS) et sur le bureau SIRENE du 8 mars 2013 (RS 362.0), les ressortissants d’Etats tiers ne peuvent être signalés aux fins de non-admission ou d’interdiction de séjour que sur la</w:t>
      </w:r>
    </w:p>
    <w:p>
      <w:r>
        <w:t>- 16 -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 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w:t>
      </w:r>
    </w:p>
    <w:p>
      <w:r>
        <w:t>- 17 -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5.3</w:t>
      </w:r>
    </w:p>
    <w:p>
      <w:r>
        <w:t>En l’espèce, l’appelant est multirécidiviste. Il a été condamné à de nombreuses reprises lors de ses présences en Suisse, en particulier pour des délits contre la LStup. Cela étant, il a été retenu ci-dessus (cf. consid. 3.3 supra), au terme d’une évaluation individuelle comprenant une appréciation de la situation personnelle de l’intéressé, que ce dernier représentait une menace pour l’ordre et la sécurité publics, menace supérieure à son intérêt personnel à demeurer en Suisse. En outre, l’appelant est un ressortissant de pays tiers ayant contourné le droit national ou de l’Union européenne relatif à l’entrée et au séjour sur le territoire des Etats membres. Les conditions figurant à l’art. 24 al. 1 et 2 du Règlement (UE) 2018/1861 sont dès lors réunies et c’est à juste titre que le Tribunal correctionnel a ordonné l’inscription de la mesure d’expulsion dans le SIS. Partant, le dernier grief de l’appelant doit être rejeté.</w:t>
      </w:r>
    </w:p>
    <w:p>
      <w:r>
        <w:rPr>
          <w:b/>
        </w:rPr>
        <w:t>E. 6</w:t>
      </w:r>
    </w:p>
    <w:p>
      <w:r>
        <w:t>En définitive, l’appel doit être rejeté et le jugement attaqué intégralement confirmé.</w:t>
      </w:r>
    </w:p>
    <w:p>
      <w:r>
        <w:t>- 18 - Conformément à l’art. 51 CP, la détention subie par l’appelant depuis le jugement de première instance sera déduite de la peine privative de liberté prononcée. Les frais de la procédure d’appel, constitués des émoluments d’audience et de jugement, par 1'830 fr. (art. 21 al. 1 et 2 TFIP [tarif des frais de procédure et indemnités en matière pénale du 28 septembre 2010 ; BLV 312.03.1]), seront mis à la charge de l’appelant,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