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PE21.000311 vom 1. Juni 2022</w:t>
      </w:r>
    </w:p>
    <w:p>
      <w:r>
        <w:t>VD Tribunal cantonal, 2022-06-01, FR</w:t>
      </w:r>
    </w:p>
    <w:p>
      <w:r>
        <w:rPr>
          <w:b/>
        </w:rPr>
        <w:t xml:space="preserve">Quelle: </w:t>
      </w:r>
      <w:r>
        <w:t>https://mcp.opencaselaw.ch/entscheid/vd_gerichte_PE21.000311</w:t>
      </w:r>
    </w:p>
    <w:p>
      <w:r>
        <w:t>FR: VD_GERICHTE PE21.000311 du 1 juin 2022</w:t>
      </w:r>
    </w:p>
    <w:p>
      <w:r>
        <w:t>IT: VD_GERICHTE PE21.000311 del 1 giugno 2022</w:t>
      </w:r>
    </w:p>
    <w:p>
      <w:pPr>
        <w:pStyle w:val="Heading2"/>
      </w:pPr>
      <w:r>
        <w:t>Erwägungen</w:t>
      </w:r>
    </w:p>
    <w:p>
      <w:r>
        <w:rPr>
          <w:b/>
        </w:rPr>
        <w:t>E. 5</w:t>
      </w:r>
    </w:p>
    <w:p>
      <w:r>
        <w:t>- 18 -</w:t>
      </w:r>
    </w:p>
    <w:p>
      <w:r>
        <w:rPr>
          <w:b/>
        </w:rPr>
        <w:t>E. 5.1</w:t>
      </w:r>
    </w:p>
    <w:p>
      <w:r>
        <w:t>Invoquant une violation de l’art. 8 al. 1 let. h OOCCR-OFROU (l’ordonnance de l’OFROU [Office fédéral des routes] concernant l’ordonnance sur le contrôle de la circulation routière ; RS 741.013.1) et de la directive de la Police cantonale en matière de constatation d’excès de vitesse (P. 21/1), l’appelant relève que les agents n’ont pas respecté les règles imposées en matière de contrôle de la vitesse par un véhicule- suiveur et qu’aucun excès de vitesse n’a donc pu être établi et ne peut par conséquent être retenu à son encontre. Il conclut par conséquent à son acquittement de l’infraction de violation simple des règles de la circulation routière.</w:t>
      </w:r>
    </w:p>
    <w:p>
      <w:r>
        <w:rPr>
          <w:b/>
        </w:rPr>
        <w:t>E. 5.2</w:t>
      </w:r>
    </w:p>
    <w:p>
      <w:r>
        <w:t>Selon l’art. 3 al. 1 OCCR (Ordonnance sur le contrôle de la circulation routière ; RS 741.013), le contrôle de la circulation sur la voie publique, y compris celui du transport des voyageurs et de l’admission des transports routiers, incombe aux organes de police compétents selon le droit cantonal. L’art. 6 let. c ch. 2 OOCCR-OFROU prévoit expressément la possibilité de réaliser des contrôles de vitesse au moyen d’un véhicule- suiveur, avec détermination de la vitesse par la comparaison entre la vitesse des deux véhicules. Les art. 6 à 9 OOCCR-OFROU précisent notamment les types de mesures (art. 6 et 7), les marges de sécurité (art. 8), ainsi que les exigences relatives à la documentation des vitesses mesurées (art. 9). En matière de mesures effectuées par un véhicule-suiveur, l’art. 8 al. 1 let. h OOCCR-OFROU et son annexe 1 prévoient, pour un contrôle par véhicule-suiveur sans cinémomètre vidéo, la mesure de vitesse sur un tronçon de 500 mètres minimum, en déduisant une marge de sécurité de 15% pour les vitesses supérieures à 100 km/h. En cas de mesure de vitesse effectuée au moyen d’un véhicule-suiveur sans système calibré, une marge de sécurité de 15% doit être déduite pour une valeur mesurée à partir de 101 km/h (art. 8 al. 1 let. i OOCCR-OFROU). Une note du chef de la circulation de la police cantonale vaudoise reprend les prescriptions exposées ci-dessus en indiquant que l’équipement technique actuellement à disposition ne permet pas le constat d’un dépassement de la vitesse au moyen de l’indicateur de vitesse du véhicule de police. Ainsi,</w:t>
      </w:r>
    </w:p>
    <w:p>
      <w:r>
        <w:t>- 19 - le contrevenant doit être suivi selon le procédé dit de « distance constante », sur un tronçon minimal de 500 mètres (P. 21/1).</w:t>
      </w:r>
    </w:p>
    <w:p>
      <w:r>
        <w:rPr>
          <w:b/>
        </w:rPr>
        <w:t>E. 5.3</w:t>
      </w:r>
    </w:p>
    <w:p>
      <w:r>
        <w:t>Le premier juge a relevé que les prescriptions légales précitées n’avaient pas été respectées. Il a toutefois considéré que les constatations policières étaient suffisantes pour retenir que le prévenu était bien en excès de vitesse important au moment des faits et qu’il convenait de déduire une marge de sécurité de 15% de la vitesse mesures, ce qui ramenait la vitesse du prévenu à 136 km/h, soit un excès de 16 km/h de la vitesse autorisée. Le raisonnement précité ne prête pas le flanc à la critique. Quoi qu’il en soit, l’autorité de céans peut de toute manière admettre la réalisation d’un excès de vitesse de 10 km/h sur la base des seules déclarations de l’intéressé, celui-ci ayant admis avoir bloqué son régulateur de vitesse à 130 km/h sur une autoroute limitée à 120 km/h. Il s’agit d’une violation simple des règles de la circulation routière. Partant, la condamnation de l’appelant pour violation simple des règles de la circulation routière en lien avec l’art. 32 al. 1 LCR doit être confirmée.</w:t>
      </w:r>
    </w:p>
    <w:p>
      <w:r>
        <w:rPr>
          <w:b/>
        </w:rPr>
        <w:t>E. 6.1</w:t>
      </w:r>
    </w:p>
    <w:p>
      <w:r>
        <w:t>Invoquant une violation de l’art. 6 CEDH et de la présomption d’innocence, l’appelant conteste ne pas avoir respecté les distances de sécurité et avoir circulé à cheval sur les deux voies, ces faits résultant uniquement du rapport de police.</w:t>
      </w:r>
    </w:p>
    <w:p>
      <w:r>
        <w:rPr>
          <w:b/>
        </w:rPr>
        <w:t>E. 6.2</w:t>
      </w:r>
    </w:p>
    <w:p>
      <w:r>
        <w:t>Les principes applicables en relation avec l’art. 6 CEDH et la présomption d’innocence ont été rappelés ci-avant (cf. consid. 3.2.2. et 4.2 supra) et il suffit de s’y référer.</w:t>
      </w:r>
    </w:p>
    <w:p>
      <w:r>
        <w:rPr>
          <w:b/>
        </w:rPr>
        <w:t>E. 6.3</w:t>
      </w:r>
    </w:p>
    <w:p>
      <w:r>
        <w:t>Le rapport de police détaille la manière dont le prévenu a talonné les véhicules qui le précédaient, soit en laissant une distance entre véhicules inférieure à 5 mètres pendant environ 10 secondes alors</w:t>
      </w:r>
    </w:p>
    <w:p>
      <w:r>
        <w:t>- 20 - qu’il roulait à 120 km/h, en se déportant sur la droite, circulant ainsi à cheval entre les deux voies, en effectuant des appels de phare et en actionnant son indicateur de direction à gauche (P. 4). Le juge de police a considéré, en bref, que la crédibilité du prévenu – dont les propos étaient confus – était proche du néant, qu’il avait tout intérêt à minimiser ses torts afin d’échapper à une condamnation, qu’à l’inverse, la police n’avait aucun motif à mentir ou à exagérer les faits et que c’était forcément parce que le prévenu avait eu un comportement répréhensible que la police avait décidé de le suivre, puis de l’intercepter sur l’autoroute. Le premier juge a donc admis les faits tels que figurant dans l’acte d’accusation, relevant que la distance que le prévenu avait laissée entre son véhicule et celui qui le précédait, soit 5 mètres alors qu’il roulait à 120 km/h, était manifestement insuffisante qu’elle que fût la formule d’évaluation utilisée et que le comportement du prévenu constituait une violation claire de l’art. 34 al. 4 et 40 LCR. Là aussi, l’appréciation précitée ne prête pas le flanc à la critique. On rappellera à cet égard que si le principe de l'appréciation des preuves interdit d'attribuer d'entrée de cause une force probante accrue à certains moyens de preuve, comme par exemple des rapports de police (TF 1P.283/2006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En l’occurrence, entendu à l’audience d’appel (p. 4 supra), le caporal [...] a confirmé la teneur du rapport de police figurant en pièce 4 du dossier, en particulier avoir constaté que le prévenu avait talonné deux véhicules et qu’il n’avait pas respecté les distances de sécurité, adoptant ainsi un comportement extrêmement dangereux. Il a indiqué que la circulation était en accordéon, mais que les véhicules circulaient rapidement avec des phases de freinage et d’accélération, se référant, concernant les temps de talonnages, au rapport de police. Or, il y</w:t>
      </w:r>
    </w:p>
    <w:p>
      <w:r>
        <w:t>- 21 - a lieu d’accorder davantage de crédit aux allégations des policiers qu’à celles du prévenu, qui a varié dans ses déclarations et qui a tout intérêt à nier ou à minimiser les faits. Du reste, le prévenu a lui-même admis n’avoir pas toujours respecté la distance de sécurité (jugt, p. 7). C’est donc à juste titre que le premier juge s’est fondé sur le rapport de police pour retenir les faits litigieux, et on ne discerne aucune violation de la présomption d’innocence sur ce point.</w:t>
      </w:r>
    </w:p>
    <w:p>
      <w:r>
        <w:rPr>
          <w:b/>
        </w:rPr>
        <w:t>E. 7.1</w:t>
      </w:r>
    </w:p>
    <w:p>
      <w:r>
        <w:t>Invoquant une violation de l’art. 34 al. 4 LCR, l’appelant soutient que la distance observée par les policiers est insuffisante pour retenir une infraction.</w:t>
      </w:r>
    </w:p>
    <w:p>
      <w:r>
        <w:rPr>
          <w:b/>
        </w:rPr>
        <w:t>E. 7.2</w:t>
      </w:r>
    </w:p>
    <w:p>
      <w:r>
        <w:t>L'art. 34 al. 4 LCR prévoit que le conducteur doit observer une distance suffisante notamment lorsque des véhicules se suivent. Cette disposition est concrétisée à l'art. 12 al. 1 de l'ordonnance sur les règles de la circulation routière (OCR;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l'art. 90 al. 1 LCR, doit être retenue dans tous les cas, même en présence de conditions favorables. Elle a toutefois admis que la règle des deux secondes ou du « demi-compteur » (correspondant à un intervalle de 1,8</w:t>
      </w:r>
    </w:p>
    <w:p>
      <w:r>
        <w:t>- 22 - seconde) étaient des standards minima habituellement reconnus (ATF 131 IV 133 consid. 3.1 p. 135 ; ATF 104 IV 192 consid. 2b p. 194).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TF 1C_356/2009 du 12 février 2010; TF 1C_7/2010 du 11 mai 2010; TF 1C_274/210 du 7 octobre 2010). Le Tribunal fédéral a également retenu une violation grave de la circulation en cas de distance supérieure à 0,6 seconde, lorsque les conditions de la route et de visibilité n'étaient pas favorables (TF 6B_700/2010 du 16 novembre 2010).</w:t>
      </w:r>
    </w:p>
    <w:p>
      <w:r>
        <w:rPr>
          <w:b/>
        </w:rPr>
        <w:t>E. 7.3.1</w:t>
      </w:r>
    </w:p>
    <w:p>
      <w:r>
        <w:t>Le prévenu a suivi le véhicule qui le précédait à une distance insuffisante (inférieure à 5 mètres pendant 10 secondes), alors qu’il circulait à 120 km/h. Il s’est ensuite décalé sur la droite, circulant ainsi à cheval entre la voie de droite et celle de gauche, alors qu’un véhicule se trouvait sur la voie de droite. Par la suite, dès lors que le véhicule talonné s’était rabattu sur la voie de droite, il a accéléré brièvement avant de ralentir derrière un autre véhicule. Il a alors réitéré le même comportement. Au regard de ces faits, on doit admettre que le prévenu a violé l’art. 34 al. 4 LCR.</w:t>
      </w:r>
    </w:p>
    <w:p>
      <w:r>
        <w:rPr>
          <w:b/>
        </w:rPr>
        <w:t>E. 7.3.2</w:t>
      </w:r>
    </w:p>
    <w:p>
      <w:r>
        <w:t>Le prévenu a également fait des appels de phare et activé son indicateur de direction à gauche, alors qu’il se trouvait sur cette voie de circulation, comme il l’a admis (jugt, p. 7). S’il a agi de la sorte, c’est bien dans le but de faire pression sur l’automobiliste qui le précédait, lui-même</w:t>
      </w:r>
    </w:p>
    <w:p>
      <w:r>
        <w:t>- 23 - ayant d’ailleurs reconnu avoir fait des appels de phare pour que le véhicule de devant se rabatte ou accélère (ibidem). Ce faisant, il a violé l’art. 40 LCR, qui prescrit que le conducteur avertira les autres usagers de la route si la sécurité de la circulation l’exige, mais que les signaux avertisseurs inutiles ou excessifs seront évités et que l’emploi du signal avertisseur en guise d’appel est interdit.</w:t>
      </w:r>
    </w:p>
    <w:p>
      <w:r>
        <w:rPr>
          <w:b/>
        </w:rPr>
        <w:t>E. 8.1</w:t>
      </w:r>
    </w:p>
    <w:p>
      <w:r>
        <w:t>Invoquant une violation de la présomption d’innocence et contestant la réalisation de l’aspect subjectif de l’infraction, l’appelant conteste sa condamnation pour entrave aux mesures de constatation de l’incapacité de conduire.</w:t>
      </w:r>
    </w:p>
    <w:p>
      <w:r>
        <w:rPr>
          <w:b/>
        </w:rPr>
        <w:t>E. 8.2.1</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146 IV 88 consid. 1.4.1; ATF 145 IV 50 consid. 3.1 ; TF 6B_598/2018 du 7 novembre 2018 consid. 3.1, destiné à la publication, et les références citées).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cette dernière</w:t>
      </w:r>
    </w:p>
    <w:p>
      <w:r>
        <w:t>- 24 - hypothèse, l'acte délictueux consiste à se comporter de telle manière qu'une mesure d'investigation de l'incapacité de conduire ne puisse pas être exécutée, à tout le moins momentanément, que ce soit en raison d'une résistance active ou passive de l'auteur (TF 6B_384/2015 du 7 décembre 2015 consid. 5.3; TF 6B_229/2012 du 5 novembre 2012 consid. 4.1). L'opposition suppose en principe que la mesure a déjà été ordonnée (Ried, in Basler Kommentar, Strassenverkehrsgesetz, 2014, n° 157 ad art. 91a LCR).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(Corboz, Les infractions en droit suisse, tome II, n° 15 ad art. 91a LCR). Sur le plan subjectif, l'infraction est intentionnelle, le dol éventuel étant suffisant (TF 6B_384/2015 précité consid. 5.3; s'agissant de l'art. 91 al. 3 aLCR : ATF 131 IV 36 consid. 2.2.1 p. 39). Aucun dessein spécial n'est requis. Il n'est ainsi pas déterminant que l'auteur se soit senti ou non en incapacité de conduire ou qu'il soit finalement constaté qu'il se trouvait dans cet état (ATF 105 IV 64 consid. 2 p. 65).</w:t>
      </w:r>
    </w:p>
    <w:p>
      <w:r>
        <w:rPr>
          <w:b/>
        </w:rPr>
        <w:t>E. 8.2.2</w:t>
      </w:r>
    </w:p>
    <w:p>
      <w:r>
        <w:t>Selon l'art. 55 al. 1 LCR,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LCR).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(art. 55 al. 2 LCR et 10 al. 2 OCCR ; ATF 139 II 95 consid. 2.1 p. 99). Dans ce cadre, des indices légers,</w:t>
      </w:r>
    </w:p>
    <w:p>
      <w:r>
        <w:t>- 25 - tels qu'un teint blême ou des yeux embués, sont toutefois suffisants (TF 6B_598/2018 précité consid. 3.5, destiné à la publication).</w:t>
      </w:r>
    </w:p>
    <w:p>
      <w:r>
        <w:rPr>
          <w:b/>
        </w:rPr>
        <w:t>E. 8.3</w:t>
      </w:r>
    </w:p>
    <w:p>
      <w:r>
        <w:t>Sur le plan subjectif, la police a informé l’appelant, dans le cadre de sa première audition, que le magistrat instructeur avait ordonné une prise de sang et qu’en cas de refus, l’intéressé était passible, en application de l’art. 91a al. 1 LCR, d’une peine d’emprisonnement ou d’une amende. L’appelant a également été informé qu’il était connu en France pour de la consommation de stupéfiants, notamment du cannabis et de l’amphétamine, et qu’il circulait en Suisse sans permis valable. Il savait également que, selon la police, il présentait des signes permettant de douter de sa capacité de conduire, à savoir de l’agitation et des pupilles fortement dilatées. Au regard des éléments précités, l’appelant savait que son comportement consistant à refuser de se soumettre à la procédure était propre à entraver le constat d'une éventuelle incapacité de conduire, de sorte qu'il a agi intentionnellement. Peu importe les motifs pour lesquels il s’est opposé à la mesure ordonnée. Au demeurant, on ne saurait suivre le raisonnement selon lequel, après avoir accepté de se soumettre à un contrôle au moyen de l'éthylomètre, il a « uniquement et légitimement conditionné la suite de la procédure à la présence de son avocat français » en raison de la fouille intime injustifiée de la police dont il avait été victime (recours, p. 21 ; cf. ég. P. 19, p. 4 in fine), puisqu’il s’est également faussement réfugié derrière de prétendues convictions religieuses (PV aud. 1, R. 8 ; jugt, p. 19). Sa condamnation pour entrave aux mesures de constatation de l’incapacité de conduire doit dès lors être confirmée.</w:t>
      </w:r>
    </w:p>
    <w:p>
      <w:r>
        <w:rPr>
          <w:b/>
        </w:rPr>
        <w:t>E. 9.1</w:t>
      </w:r>
    </w:p>
    <w:p>
      <w:r>
        <w:t>Invoquant une violation des art. 23 LLCA (loi fédérale sur la libre circulation des avocats du 23 juin 2000 ; RS 935.61) et 107 al. 2 CPP, l’appelant relève que dès lors qu’il ne se trouvait pas dans un cas de défense obligatoire, son avocat français pouvait parfaitement intervenir</w:t>
      </w:r>
    </w:p>
    <w:p>
      <w:r>
        <w:t>- 26 - seul en procédure. Il reproche ainsi aux agents [...] de lui avoir donné de fausses indications et de l’avoir ainsi privé de la représentation à laquelle il avait droit dans le cadre de sa première audition. Il explique qu’il n’a jamais refusé de se soumettre aux examens ordonnés, mais qu’il a uniquement subordonné sa collaboration à la présence d’un avocat.</w:t>
      </w:r>
    </w:p>
    <w:p>
      <w:r>
        <w:rPr>
          <w:b/>
        </w:rPr>
        <w:t>E. 9.2</w:t>
      </w:r>
    </w:p>
    <w:p>
      <w:r>
        <w:t>La police a énuméré les droits au prévenu, tel que celui d’avoir un défenseur, y compris d’office. L’appelant a renoncé à avoir un avocat suisse en raison des coûts. Il a mentionné ce qui suit à ce propos : « J’ai un avocat en France en la personne de [...]. Vous m’informez que les avocats français peuvent intervenir légalement seulement en présence d’un avocat suisse. Je n’ai pas d’avocat Suisse et je ne désire pas en appeler un car je n’ai pas les moyens de le rémunérer » (PV aud. 1, R. 2). Par ailleurs, lors des débats de première instance, il a déclaré ce qui suit : « Pour vous répondre, si j’avais pu contacter mon avocat français, j’aurais accepté un prélèvement pour déterminer ma capacité de conduire. Je n’avais pas de questions particulières par rapport à ce prélèvement. Je me suis braqué et j’ai voulu faire ma tête de mule » (p. 8). Ainsi, le fait de vouloir la présence de son avocat français n’était qu’un prétexte, dès lors qu’il n’avait précisément aucune question à lui poser et que la police lui avait donné toutes les informations utiles et parlé des risques encourus en lien avec l’art. 91a al. 1 LCR. On ne discerne dès lors aucune violation des droits du prévenu sous cet angle, pas plus qu’une violation de la présomption d’innocence.</w:t>
      </w:r>
    </w:p>
    <w:p>
      <w:r>
        <w:rPr>
          <w:b/>
        </w:rPr>
        <w:t>E. 10.1</w:t>
      </w:r>
    </w:p>
    <w:p>
      <w:r>
        <w:t>L’appelant conteste la peine prononcée.</w:t>
      </w:r>
    </w:p>
    <w:p>
      <w:r>
        <w:rPr>
          <w:b/>
        </w:rPr>
        <w:t>E. 10.2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- 27 -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ATF 136 IV 55 consid. 5 p. 57 ss; ATF 134 IV 17 consid. 2.1 p. 19 s.).</w:t>
      </w:r>
    </w:p>
    <w:p>
      <w:r>
        <w:rPr>
          <w:b/>
        </w:rPr>
        <w:t>E. 10.3</w:t>
      </w:r>
    </w:p>
    <w:p>
      <w:r>
        <w:t>L’appelant part du principe que seule la contravention à la LVA doit être retenue à sa charge et qu’il est libéré des autres infractions, alors que tel n’est pas le cas comme on l’a vu ci-avant. Le premier juge a qualifié de relativement lourde la culpabilité de l’appelant. Il a retenu que ce dernier avait fait fi des règles les plus élémentaires de la circulation routière afin de faire pression sur les autres usagers de la route pour lui libérer le passage. Ce comportement était non seulement inutile, car le gain de temps se limitait généralement à quelques secondes ou minutes, mais aussi et surtout dangereux dans la mesure où il était susceptible de causer un grave accident, compte tenu de l’absence d’une distance de sécurité suffisante. Ensuite, outre le fait d’avoir refusé de se soumettre aux prélèvements d’usage pour déterminer sa capacité de conduire en invoquant, notamment, de faux motifs religieux, le prévenu avait persisté à nier les faits, se posant en victime d’agents de police hostiles, sans jamais se remettre en question ni émettre le moindre remord. Son manque de prise de conscience de la dangerosité de son comportement routier était inquiétant. A cela s’ajoutaient ses antécédents judiciaires en France et le concours d’infractions. Le tribunal n’a pas retenu d’éléments à décharge de</w:t>
      </w:r>
    </w:p>
    <w:p>
      <w:r>
        <w:t>- 28 - l’appelant, si ce n’est – dans une moindre mesure – le fait qu’il n’avait probablement pas reçu d’informations suffisamment claires s’agissant de la possibilité d’être assisté d’un avocat, le cas échéant d’office, ce qui l’avait mis en de moins bonne disposition pour la suite de son interrogatoire. L’appréciation des éléments pris en compte par le premier juge pour la fixation de la peine, tels qu’ils sont décrits en page 22 du jugement, peut être reprise ici par adoption de motifs (art. 82 al. 4 CPP). La peine pécuniaire de 45 jours-amende sanctionnant l’infraction d’entrave aux mesures de constatation de l’incapacité de conduire peut dès lors être confirmée. Il en va de même du montant du jour-amende, fixé à 40 fr., qui tient compte de la situation financière de l’appelant. Vu le manque d’introspection du prévenu et ses précédentes condamnations en France, dont l’une pour des infractions routières sanctionnées en 2017, c’est à juste titre que le premier juge a assorti la peine d’un sursis d’une durée de quatre ans. L’amende, arrêtée à un total de 1'000 fr., réprimant la contravention à la LVA – sanctionnée par une amende de 200 fr. (art. 14 al. 1 LVA) – et l’infraction de violation simple des règles de la circulation routière pour excès de vitesse – punissable d’une amende d’ordre de 160 fr. –, distance de sécurité insuffisante et mauvais usage des signaux avertisseurs, est également adéquate et peut être confirmée ; elle apparaît même clémente, au vu de la conduite dangereuse adoptée par le prévenu. La peine privative de liberté de substitution de 10 jours en cas de non-paiement fautif sera également confirmée.</w:t>
      </w:r>
    </w:p>
    <w:p>
      <w:r>
        <w:rPr>
          <w:b/>
        </w:rPr>
        <w:t>E. 11.1</w:t>
      </w:r>
    </w:p>
    <w:p>
      <w:r>
        <w:t>Invoquant une violation de l’art. 426 CPP, l’appelant conteste l’imputation des trois quarts des frais de la procédure.</w:t>
      </w:r>
    </w:p>
    <w:p>
      <w:r>
        <w:rPr>
          <w:b/>
        </w:rPr>
        <w:t>E. 11.2</w:t>
      </w:r>
    </w:p>
    <w:p>
      <w:r>
        <w:t>Conformément à l'art. 426 CPP, le prévenu supporte les frais de procédure s'il est condamné (al. 1). Lorsque le prévenu est acquitté, tout ou partie des frais de procédure peuvent être mis à sa charge s'il a,</w:t>
      </w:r>
    </w:p>
    <w:p>
      <w:r>
        <w:t>- 29 -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116 la 162 consid. 2c; TF 6B_957/2017 du 27 avril 2018 consid. 2.2; cf. art. 426 al. 3 let. a CPP).</w:t>
      </w:r>
    </w:p>
    <w:p>
      <w:r>
        <w:rPr>
          <w:b/>
        </w:rPr>
        <w:t>E. 11.3</w:t>
      </w:r>
    </w:p>
    <w:p>
      <w:r>
        <w:t>L’appelant est libéré des chefs de prévention de violation simple des règles de la circulation routière (art 31 al. 1 LCR), de conduite d’un véhicule automobile malgré une incapacité de conduire (autres raisons) et de contravention à l’ordonnance sur les règles de la circulation routière, soit pour tous les faits décrits sous le chiffre II de l’acte d’accusation. Il est condamné pour violation simple des règles de la circulation routière (art. 26, 32 al. 1, 34 al. 4 et 40 LCR), entrave aux</w:t>
      </w:r>
    </w:p>
    <w:p>
      <w:r>
        <w:t>- 30 - mesures de constatation de l’incapacité de conduire et contravention à la loi fédérale sur la vignette autoroutière, soit pour les faits décrits sous le chiffre I de l’acte d’accusation. On doit par conséquent admettre qu’il est libéré de la moitié des infractions et qu’il ne doit donc supporter que la moitié des frais de justice. L’appel doit dès lors être admis dans cette mesure.</w:t>
      </w:r>
    </w:p>
    <w:p>
      <w:r>
        <w:rPr>
          <w:b/>
        </w:rPr>
        <w:t>E. 12.1</w:t>
      </w:r>
    </w:p>
    <w:p>
      <w:r>
        <w:t>En définitive, l’appel de R.________ sera très partiellement admis et le jugement entrepris modifié au chiffre VII de son dispositif en ce sens que les frais de première instance, par 6'575 fr. 05 – non contestés –, montant comprenant l’indemnité allouée à son défenseur d’office, seront mis à sa charge à hauteur d’une moitié, soit par 3'287 fr. 50, le solde étant laissé à la charge de l’Etat. Il s’ensuit que la clause de remboursement selon l’art. 135 al. 4 CPP ne doit s’appliquer qu’à une moitié de l’indemnité de défense d’office ; le chiffre VIII du dispositif de jugement sera modifié dans ce sens. Le dispositif communiqué le 14 décembre 2022 contient une erreur de calcul manifeste à son chiffre chiffres II/VII en ce sens que le montant des frais de première instance mis à la charge de l’appelant s’élève non pas à 4'931 fr. 30, mais à 3'287 fr. 50. Ainsi, le dispositif sera rectifié d'office sur ce point (art. 83 al. 1 CPP).</w:t>
      </w:r>
    </w:p>
    <w:p>
      <w:r>
        <w:rPr>
          <w:b/>
        </w:rPr>
        <w:t>E. 12.2</w:t>
      </w:r>
    </w:p>
    <w:p>
      <w:r>
        <w:t>Me Tony Donnet-Monay, défenseur d’office de R.________, a produit une liste d'opérations (P. 51) faisant état d’une activité totale de 29,9 heures, soit 20,7 heures par l’avocat breveté et 9,2 heures par l’avocat-stagiaire. Ce total est excessif. Tout d’abord, compte tenu de la connaissance du dossier acquise en première instance par le mandataire et des arguments factuels et juridiques qu’il avait déjà eu l’occasion de soulever devant le Ministère public puis devant le Tribunal de police, il y a lieu de retrancher 8 heures aux 14,65 heures indiquées pour la rédaction de la déclaration d’appel motivée et les recherches juridiques (opérations des 9, 10 et 11 juillet 2022). Pour ce même motif, le temps consacré à</w:t>
      </w:r>
    </w:p>
    <w:p>
      <w:r>
        <w:t>- 31 - l’opération « réception, examen et analyse du jugement motivé – recherches » du 21 juin 2022, par 0,95 heures, sera ramené à 0,6 heures. En outre, de jurisprudence constante, il convient de retrancher toutes les réceptions de lettres qui n'impliquent qu'une lecture cursive et brève (CAPE 8 décembre 2020/460 consid. 7.3 ; CREP 19 octobre 2020/813), soit en l’occurrence 0,35 heures (7 x 0.05). Il en va de même des tâches de secrétariat telles que l'établissement de la liste des opérations de l'avocat (0,35 heures) et le temps consacré à la constitution d’un bordereau de pièces (0,3 heures), d’autant que les « pièces réunies sous bordereau » consistent uniquement en une copie du jugement de première instance, accompagné de l’enveloppe l’ayant contenu et du relevé track and trace. Enfin, le temps consacré par l’avocat aux téléphones et courriers au client (soit dix opérations entre le 1er juin et le 10 octobre 2022), d’une durée totale de 2,4 heures, doit être réduit à 1 heure, ce qui est suffisant, étant rappelé que la simple transmission de courriers et de documents à ce dernier ne doit pas être comptabilisée ; une durée supplémentaire d’1 heure est d’ailleurs admis pour les deux conférences (2 x 30 minutes) que l’avocat-stagiaire a eues ensuite avec le client. Ainsi, il y a en définitive lieu de retenir un total de 10 heures d’activité pour l’avocat breveté. Le temps consacré par l’avocat-stagiaire, d’un total de 9,2 heures, doit quant à lui être réduit à 7,4 heures afin de tenir compte du temps effectif d’audience. Le montant des honoraires s'élève ainsi à 2'614 fr. ([10 x 180] + [7,4 x 110]), auxquels s'ajoutent une vacation par 80 fr., des débours forfaitaires à concurrence de 2% par 53 fr. 85 et la TVA au taux de 7,7 % sur le tout par 211 fr. 60, de sorte que c'est une indemnité totale de 2'959 fr. 45 qui sera allouée à Me Donnet-Monay.</w:t>
      </w:r>
    </w:p>
    <w:p>
      <w:r>
        <w:rPr>
          <w:b/>
        </w:rPr>
        <w:t>E. 12.3</w:t>
      </w:r>
    </w:p>
    <w:p>
      <w:r>
        <w:t>Vu l’issue de la cause, les frais de la procédure d’appel, par 5'889 fr. 45, constitués de l’émolument de jugement, par 2'930 fr. (art. 21 al. 1 et 2 TFIP [tarif des frais de procédure et indemnités en matière pénale du 28 septembre 2010 ; BLV 312.03.1]), et de l’indemnité allouée à son défenseur d’office, par 2'959 fr. 45, seront mis par sept huitièmes, soit par 5'153 fr. 25, à la charge de R.________ (art. 428 al. 1 CPP), le solde étant laissé à la charge de l’Etat.</w:t>
      </w:r>
    </w:p>
    <w:p>
      <w:r>
        <w:t>- 32 - L’appelant ne sera tenu de rembourser à l’Etat les sept huitièmes de l’indemnité allouée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