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PE21.000052 vom 25. Mai 2021</w:t>
      </w:r>
    </w:p>
    <w:p>
      <w:r>
        <w:t>VD Tribunal cantonal, 2021-05-25, FR</w:t>
      </w:r>
    </w:p>
    <w:p>
      <w:r>
        <w:rPr>
          <w:b/>
        </w:rPr>
        <w:t xml:space="preserve">Quelle: </w:t>
      </w:r>
      <w:r>
        <w:t>https://mcp.opencaselaw.ch/entscheid/vd_gerichte_PE21.000052</w:t>
      </w:r>
    </w:p>
    <w:p>
      <w:r>
        <w:t>FR: VD_GERICHTE PE21.000052 du 25 mai 2021</w:t>
      </w:r>
    </w:p>
    <w:p>
      <w:r>
        <w:t>IT: VD_GERICHTE PE21.000052 del 25 maggio 2021</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et dans les formes prescrites (art. 385 al. 1 CPP) auprès de l’autorité compétente, par la représentante – au bénéfice d’une procuration – de la partie plaignante qui a qualité pour recourir (art. 382 al. 1 CPP), le recours est recevable.</w:t>
      </w:r>
    </w:p>
    <w:p>
      <w:r>
        <w:rPr>
          <w:b/>
        </w:rPr>
        <w:t>E. 2</w:t>
      </w:r>
    </w:p>
    <w:p>
      <w:r>
        <w:t>La recourante soutient en substance que la version du prévenu ne correspondrait pas à la réalité. Il ne se serait pas contenté d’enlever la vigne vierge mais aurait arraché et coupé des arbustes et du lierre, aurait jeté des branches sur son terrain et aurait abimé un treillis du côté du jardin. Sur ce dernier point, elle indique que des photographies sont disponibles mais n’auraient pas été demandées par le procureur. Enfin, il n’aurait pas été tenu compte du rapport de police dans l’ordonnance attaquée.</w:t>
      </w:r>
    </w:p>
    <w:p>
      <w:r>
        <w:rPr>
          <w:b/>
        </w:rPr>
        <w:t>E. 2.1</w:t>
      </w:r>
    </w:p>
    <w:p>
      <w:r>
        <w:t>- 4 -</w:t>
      </w:r>
    </w:p>
    <w:p>
      <w:r>
        <w:rPr>
          <w:b/>
        </w:rPr>
        <w:t>E. 2.1.1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2.1.2</w:t>
      </w:r>
    </w:p>
    <w:p>
      <w:r>
        <w:t>Aux termes de l'art. 144 al. 1 CP, se rend coupable de dommages à la propriété celui qui aura endommagé, détruit ou mis hors d'usage une chose appartenant à autrui ou frappée d'un droit d'usage ou d'usufruit au bénéfice d'autrui.</w:t>
      </w:r>
    </w:p>
    <w:p>
      <w:r>
        <w:t>- 5 - L’auteur se rend coupable de dommages à la propriété dès qu'il cause un changement de l'état de la chose qui n'est pas immédiatement réversible sans frais ni effort et qui porte atteinte à un intérêt légitime (ATF 128 IV 250 consid. 2). L'infraction doit porter sur un objet corporel, mobilier ou immobilier, appartenant à autrui, même si l'auteur en est également copropriétaire (TF 6B_77/2017 du 16 janvier 2018 consid. 2.1 et les références citées). L'infraction est intentionnelle ; le dol éventuel suffit. L’auteur doit avoir la conscience et la volonté au moins sous la forme du dol éventuel, de s’en prendre à la chose d’autrui ou à l’usage d’autrui, et d’en changer l’état (Dupuis et alii, Petit commentaire, Code pénal, 2e éd., Bâle 2017, n. 16 ad art. 144 CP).</w:t>
      </w:r>
    </w:p>
    <w:p>
      <w:r>
        <w:rPr>
          <w:b/>
        </w:rPr>
        <w:t>E. 2.1.3</w:t>
      </w:r>
    </w:p>
    <w:p>
      <w:r>
        <w:t>Les art. 37 ss CRF (Code rural et foncier du 7 décembre 1987 ; BLV 211.41) prévoient des distances minimales et des limitations de hauteur notamment pour les haies vives et les autres clôtures, notamment les grillages et treillis (cf. art. 37, 38 et 39 al. 2 CRF). L’ayant droit peut exiger l’enlèvement, l’abaissement, l’élévation ou l’éloignement des fouilles et clôtures non constituées en haies vives établies à une distance ou à une hauteur non conforme (art. 40 al. 1 CRF), respectivement l’enlèvement et l’écimage des plantations et haies vives ne respectant pas les distances et ou hauteur (cf. art. 41 et 57 CRF). La justice de paix est compétente pour statuer sur de telles requêtes (cf. art. 62 CRF). Selon l’art. 64 al. 1 CRF, celui sur la propriété duquel avancent les racines ou les branches des arbres du voisin a le droit de les couper à sa limite, si elles lui portent préjudice, pour autant qu'il ne s'agisse pas d'arbres classés ou protégés, et si après avertissement le voisin ne les enlève pas dans un délai convenable. Cette disposition est applicable aux haies vives (art. 41 CRF). Quant aux clôtures dangereuses, elles sont prohibées (art. 42 al. 1 CRF), les municipalités étant chargées de la surveillance des clôtures (art. 45 al. 1 CRF).</w:t>
      </w:r>
    </w:p>
    <w:p>
      <w:r>
        <w:rPr>
          <w:b/>
        </w:rPr>
        <w:t>E. 2.2</w:t>
      </w:r>
    </w:p>
    <w:p>
      <w:r>
        <w:t>En l’espèce, il ressort des déclarations d’J.________, des lettres produites et même du recours que plusieurs demandes avaient été faites</w:t>
      </w:r>
    </w:p>
    <w:p>
      <w:r>
        <w:t>- 6 - par le prévenu et son épouse pour qu’il soit procédé à l’entretien de la haie litigieuse. Dans sa lettre du 7 juin 2016 adressée à la recourante, le prévenu avait en outre relevé que la clôture était rouillée et endommagée, et qu’elle pouvait être dangereuse. Les photographies produites par ce dernier montrent également l’état désastreux dans lequel se trouvaient la haie et la clôture. Des discussions ont encore manifestement eu lieu par la suite, puisqu’un artisan est finalement intervenu pour tailler la haie, début octobre 2020, la propriétaire s’y étant engagée. Il semble toutefois que la haie et des mauvaises herbes forjetaient encore sur le terrain du prévenu, et que l’intéressé avait de la peine à communiquer avec la recourante, qui réside en France, la locataire s’étant, pour sa part et selon ses dires, contentée de renvoyer le prévenu à prendre contact avec celle-ci. J.________ paraît ainsi avoir été en droit d’agir comme il l’a fait, en éliminant les branchages jusqu’à la limite de sa propriété, en application de l’art. 64 al. 1 CRF, et la recourante ne soutient du reste pas qu’il serait allé au-delà de cette limite. L’intention délictueuse fait ainsi défaut et, tout au plus, pourrait-on considérer qu’il a fait preuve de négligence dans l’application des règles de procédure prévues par le CRF. Il en va de même s’agissant de la clôture, dont l’état de délabrement est attesté par les photographies produites par le prévenu, lequel est par conséquent crédible lorsqu’il explique qu’il l’a emportée sans volonté de la détruire, en démontant son propre treillis. Il a de surcroît déclaré avoir conservé ladite clôture et être prêt à la remettre en place s’il le fallait, ce qui renforce encore la thèse de l’absence d’intention délictueuse. C’est dès lors à juste titre que le procureur a refusé d’entrer en matière.</w:t>
      </w:r>
    </w:p>
    <w:p>
      <w:r>
        <w:rPr>
          <w:b/>
        </w:rPr>
        <w:t>E. 3</w:t>
      </w:r>
    </w:p>
    <w:p>
      <w:r>
        <w:t>Au vu de ce qui précède, le recours, manifestement mal fondé, doit être rejeté sans échange d’écritures (art. 390 al. 2 CPP) et l’ordonnance du 26 janvier 2021 confirmée. Les frais de la procédure de recours, par 660 fr. (art. 20 al. 1 TFIP [tarif des frais de procédure et indemnités en matière pénale du 28</w:t>
      </w:r>
    </w:p>
    <w:p>
      <w:r>
        <w:t>- 7 - septembre 2010; BLV 312.03.1]), seront mis à la charge de la recourante, qui succombe (art. 428 al. 1 CPP). Le montant de 550 fr. déjà versé par celle-ci à titre de sûretés sera imputé sur les frais mis à sa charge (art. 383 al. 1 CPP; CREP 8 mars 2021/261; CREP 8 octobre 2020/771 et les réf. cit.). Par ces motifs, la Chambre des recours pénale prononce : I. Le recours est rejeté. II. L’ordonnance du 26 janvier 2021 est confirmée. III. Les frais d’arrêt, par 660 fr. (six cent soixante francs), sont mis à la charge d’M.________. IV. Le montant de 550 fr. (cinq cent cinquante francs) déjà versé par la recourante à titre de sûretés est imputé sur les frais mis à sa charge au chiffre III ci-dessus. V. L’arrêt est exécutoire. Le président : Le greffier : Du Le présent arrêt, dont la rédaction a été approuvée à huis clos, est notifié, par l'envoi d'une copie complète, à : - Mme P.________ (pour M.________), - M. J.________, - Ministère public central,</w:t>
      </w:r>
    </w:p>
    <w:p>
      <w:r>
        <w:t>- 8 -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