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PE20.023119 vom 15. April 2021</w:t>
      </w:r>
    </w:p>
    <w:p>
      <w:r>
        <w:t>VD Tribunal cantonal, 2021-04-15, FR</w:t>
      </w:r>
    </w:p>
    <w:p>
      <w:r>
        <w:rPr>
          <w:b/>
        </w:rPr>
        <w:t xml:space="preserve">Quelle: </w:t>
      </w:r>
      <w:r>
        <w:t>https://mcp.opencaselaw.ch/entscheid/vd_gerichte_PE20.023119</w:t>
      </w:r>
    </w:p>
    <w:p>
      <w:r>
        <w:t>FR: VD_GERICHTE PE20.023119 du 15 avril 2021</w:t>
      </w:r>
    </w:p>
    <w:p>
      <w:r>
        <w:t>IT: VD_GERICHTE PE20.023119 del 15 aprile 2021</w:t>
      </w:r>
    </w:p>
    <w:p>
      <w:pPr>
        <w:pStyle w:val="Heading2"/>
      </w:pPr>
      <w:r>
        <w:t>Erwägungen</w:t>
      </w:r>
    </w:p>
    <w:p>
      <w:r>
        <w:rPr>
          <w:b/>
        </w:rPr>
        <w:t>E. 1</w:t>
      </w:r>
    </w:p>
    <w:p>
      <w:r>
        <w:t>Aux termes de l’art. 393 CPP, le recours est recevable notamment contre les décisions et les actes de procédure du Ministère public (art. 1 let. a), pour des motifs incluant en particulier la violation du droit, y compris le déni de justice et le retard injustifié (al. 2).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auprès de l’autorité compétente par la partie plaignante qui a qualité pour recourir (art. 382 al. 1 CPP), et satisfaisant aux conditions de forme prescrites (art. 385 al. 1 CPP), le recours d’V.________ est recevable.</w:t>
      </w:r>
    </w:p>
    <w:p>
      <w:r>
        <w:rPr>
          <w:b/>
        </w:rPr>
        <w:t>E. 2.1</w:t>
      </w:r>
    </w:p>
    <w:p>
      <w:r>
        <w:t>La recourante se plaint d’un retard injustifié, faisant grief au Ministère public de tarder à donner suite à l’arrêt du 3 février 2021 de la Chambre des recours pénale. Elle soutient que le Ministère public n’aurait pas enregistré sa plainte et qu’il n’aurait pas ouvert un dossier.</w:t>
      </w:r>
    </w:p>
    <w:p>
      <w:r>
        <w:rPr>
          <w:b/>
        </w:rPr>
        <w:t>E. 2.2.1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2.2.2</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CPP ; TF 6B_290/2020 du 17 juillet 2020 consid. 2.2 ; TF 6B_875/2018 du 15 novembre 2018 consid. 2.2 et la référence citée).</w:t>
      </w:r>
    </w:p>
    <w:p>
      <w:r>
        <w:t>- 6 -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1re et 2e hypothèses CPP (TF 6B_290/2020 précité ; TF 6B_940/2016 du 6 juillet 2017 consid. 3.3.2 et les références citées). En revanche, le Ministère public ne peut pas rendre une ordonnance de non- entrée en matière après avoir ouvert une instruction au sens de l'art. 309 CPP (TF 6B_290/2020 précité ; TF 6B_1365/2017 du 27 juin 2018 consid. 3.3).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6B_290/2020 précité et les références citées ; TF 6B_810/2019 du 22 juillet 2019 consid. 2.1 ; TF 6B_239/2019 du 24 avril 2019 consid. 2.1). Avant l'ouverture d'une instruction, le droit de participer à l'administration des preuves ne s'applique en principe pas (art. 147 al. 1 CPP a contrario ; ATF 143 IV 397 consid. 3.3.2 in fine ; ATF 140 IV 172 consid. 1.2.2), et ce y compris en cas d'investigations policières diligentées à titre de complément d'enquête requis par le Ministère public en vertu de l'art. 309 al. 2 CPP (TF 6B_290/2020 précité ; TF 6B_1385/2019 du 27 février 2020 consid. 1.1 et la référence citée ; TF 6B_673/2019 du 31 octobre 2019 consid. 2.1 et les références citées). En outre, avant de rendre une ordonnance de non-entrée en matière, le Ministère public n'a</w:t>
      </w:r>
    </w:p>
    <w:p>
      <w:r>
        <w:t>- 7 -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6B_290/2020 précité et les références citées ; TF 6B_673/2019 précité consid. 2.2 ; TF 6B_810/2019 du 22 juillet 2019 consid. 2.1).</w:t>
      </w:r>
    </w:p>
    <w:p>
      <w:r>
        <w:rPr>
          <w:b/>
        </w:rPr>
        <w:t>E. 2.3</w:t>
      </w:r>
    </w:p>
    <w:p>
      <w:r>
        <w:t>En l’espèce, le Ministère public a réceptionné et enregistré le dossier de la cause le 9 février 2021, et dressé un procès-verbal des opérations (PV op. p. 2). Il ressort de ce procès-verbal que le Ministère public a, à réception de la plainte de la recourante, au mois de novembre 2020, chargé la police de faire quelques investigations complémentaires au sens de l’art. 309 al. 2 CPP. La police a procédé à l’audition de P.________ le 7 janvier 2021(PV aud. 1) et à celle de [...] le 14 janvier 2021 (PV aud. 2), et a déposé un rapport d’investigation le 18 janvier 2021 (P. 12). Ainsi, contrairement à ce que soutient la recourante, les opérations retranscrites au procès-verbal et les pièces enregistrées démontrent que le Ministère public n’est pas resté inactif et qu’il a exécuté les instructions de la Chambre des recours pénale. A ce stade, il appartient au Ministère public de prendre une décision quant à l’ouverture ou à la non-ouverture d’une instruction pénale. Ainsi, le Ministère public peut soit rendre une ordonnance de non- entrée en matière ou une ordonnance pénale, soit demander des compléments d’investigations à la police et ordonner l’ouverture d’une instruction pénale (art. 309 al. 1 et 4 CPP). Avant l’ouverture formelle d’une instruction, la recourante ne dispose pas d’un droit à participer à l’administration des preuves. Le dossier ayant été retourné au Ministère public ensuite de la précédente procédure de recours le 16 février 2021 et ayant été attribué à la procureure Camilla Masson le 18 février 2021 (PV op. p. 3), ce n’est qu’à partir de cette date que la procureure était en</w:t>
      </w:r>
    </w:p>
    <w:p>
      <w:r>
        <w:t>- 8 - mesure de décider de la suite à donner à la plainte déposée le 11 novembre 2020 par la recourante. Au vu de ce qui précède, force est de constater qu’il n’y a eu aucun "temps mort" et qu’aucun retard injustifié ne saurait, à ce stade, être reproché à la procureure, une inaction d’une durée de deux mois n’apparaissant pas déraisonnable pour prendre, rédiger et notifier une décision aux parties ni excessive au point de violer le principe de célérité, d’autant que le recours a été déposé le 6 avril 2021, soit moins de deux mois après le retour du dossier au Ministère public. 3. En définitive, le recours interjeté par V.________, manifestement mal fondé, doit être rejeté sans autre échange d’écritures (art. 390 al. 2 CPP). Vu l’issue du recours, les frais de la procédure, constitués en l’espèce du seul émolument d'arrêt (art. 422 al. 1 CPP),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Les frais d’arrêt, par 880 fr. (huit cent huitante francs), sont mis à la charge d’V.________. III. L’arrêt est exécutoire. Le président : La greffière :</w:t>
      </w:r>
    </w:p>
    <w:p>
      <w:r>
        <w:t>- 9 - Du Le présent arrêt, dont la rédaction a été approuvée à huis clos, est notifié, par l'envoi d'une copie complète, à : - Mme V.________,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w:t>
      </w:r>
    </w:p>
    <w:p>
      <w:r>
        <w:t>- 4 - pas une décision qu'il lui incombe de prendre dans le délai prescrit par la loi ou dans le délai que la nature de l'affaire et les circonstances font apparaître comme raisonnable (ATF 143 IV 373 consid. 1.3.1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La surcharge des autorités de poursuite pénale ne saurait justifier que l’instruction d’une procédure éprouve trop de retard ou qu’il ne soit pas statué sur une requête d’une partie (ATF 130 I 312 précité ; CREP 15 octobre 2020/729 consid. 2.2.1 ; CREP 11 juin 2020/444 consid. 2.2). L’autorité viole le principe de célérité lorsqu'elle ne rend pas une décision qu'il lui incombe de prendre dans le délai prescrit par la loi ou dans le délai que la nature de l'affaire et les circonstances font apparaître comme raisonnable (ATF 143 IV 373 consid. 1.3.1 p. 377; cf. ATF 130 I 312 consid. 5.1 pp. 331 ss). Comme on ne peut pas exiger de l'autorité pénale</w:t>
      </w:r>
    </w:p>
    <w:p>
      <w:r>
        <w:t>- 5 -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et celles-ci ne sauraient exciper des insuffisances de l'organisation judiciaire (ATF 130 IV 54 consid. 3.3.3 pp. 56 ss ; TF 1B_579/2019 du 3 février 2019). La violation du principe de célérité peut avoir pour conséquence la diminution de la peine, parfois l'exemption de toute peine ou encore une ordonnance de classement en tant qu'ultima ratio dans les cas les plus extrêmes (ATF 143 IV 373 consid. 1.4.1 pp. 377 ss; 135 IV 12 consid 3.6 p.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