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PE20.022990 vom 8. Februar 2023</w:t>
      </w:r>
    </w:p>
    <w:p>
      <w:r>
        <w:t>VD Tribunal cantonal, 2023-02-08, FR</w:t>
      </w:r>
    </w:p>
    <w:p>
      <w:r>
        <w:rPr>
          <w:b/>
        </w:rPr>
        <w:t xml:space="preserve">Quelle: </w:t>
      </w:r>
      <w:r>
        <w:t>https://mcp.opencaselaw.ch/entscheid/vd_gerichte_PE20.022990</w:t>
      </w:r>
    </w:p>
    <w:p>
      <w:r>
        <w:t>FR: VD_GERICHTE PE20.022990 du 8 février 2023</w:t>
      </w:r>
    </w:p>
    <w:p>
      <w:r>
        <w:t>IT: VD_GERICHTE PE20.022990 del 8 febbraio 2023</w:t>
      </w:r>
    </w:p>
    <w:p>
      <w:pPr>
        <w:pStyle w:val="Heading2"/>
      </w:pPr>
      <w:r>
        <w:t>Erwägungen</w:t>
      </w:r>
    </w:p>
    <w:p>
      <w:r>
        <w:rPr>
          <w:b/>
        </w:rPr>
        <w:t>E. 4.1</w:t>
      </w:r>
    </w:p>
    <w:p>
      <w:r>
        <w:t>L’appelante reproche ensuite au premier juge d’avoir libéré V.________ du chef de prévention de voies de fait. Elle fait valoir que V.________ l’a projetée sans raison au sol et que ce geste serait constitutif de voies de fait au regard de la jurisprudence.</w:t>
      </w:r>
    </w:p>
    <w:p>
      <w:r>
        <w:rPr>
          <w:b/>
        </w:rPr>
        <w:t>E. 4.2</w:t>
      </w:r>
    </w:p>
    <w:p>
      <w:r>
        <w:t>Contrairement à ce que soutient l’appelante, il ne se justifie pas de distinguer les différentes phases de l’attaque qu’elle a subie le 30 avril 2020 pour les qualifier chacune séparément. Au contraire, s’agissant d’actes relevant du même complexe de faits, sans rupture temporelle, et portant atteinte au même bien juridiquement protégé, à savoir l’intégrité corporelle, il faut chercher à se représenter l’intention poursuivie par V.________, ce qui doit conduire à appréhender son comportement comme un schéma unique d’agression. Le fait que V.________ ait poussé l’appelante est effectivement constitutif de voies de fait, mais ces voies de fait sont absorbées par les lésions corporelles simples, dès lors que la chute qui en a résulté était à même de les provoquer et que l’intention poursuivie par V.________ allait bien au-delà de la commission de simples voies de fait. La libération de V.________ du chef d’accusation de voies de fait doit ainsi être confirmée.</w:t>
      </w:r>
    </w:p>
    <w:p>
      <w:r>
        <w:rPr>
          <w:b/>
        </w:rPr>
        <w:t>E. 5.1</w:t>
      </w:r>
    </w:p>
    <w:p>
      <w:r>
        <w:t>Invoquant un défaut de motivation et une violation du droit, l’appelante reproche au premier juge d’avoir mis un quinzième des frais communs de la cause, par 1'249 fr. 60, à sa charge, y compris une part des indemnités des défenseurs d’office de V.________ et de T.________, et d’avoir ainsi violé son droit d’être entendue.</w:t>
      </w:r>
    </w:p>
    <w:p>
      <w:r>
        <w:rPr>
          <w:b/>
        </w:rPr>
        <w:t>E. 5.2.1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w:t>
      </w:r>
    </w:p>
    <w:p>
      <w:r>
        <w:t>- 26 - acquitté (let. a) et le prévenu n'est pas astreint au paiement des frais conformément à l'art. 426 al. 2 (let. b). En vertu de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(TF 6B_459/2022 du 20 mars 2023 consid. 2.1 et la jurisprudence citée).</w:t>
      </w:r>
    </w:p>
    <w:p>
      <w:r>
        <w:rPr>
          <w:b/>
        </w:rPr>
        <w:t>E. 5.2.2</w:t>
      </w:r>
    </w:p>
    <w:p>
      <w:r>
        <w:t>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w:t>
      </w:r>
    </w:p>
    <w:p>
      <w:r>
        <w:t>- 27 - connaissance de cause (ATF 134 I 83 consid. 4.1 ; ATF 133 III 439 consid. 3.3 ; Moreillon/Parein-Reymond, Petit commentaire Code de procédure pénale, 2e éd., Bâle 2016, nn. 6 ss ad art. 80 CPP).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5.3.1</w:t>
      </w:r>
    </w:p>
    <w:p>
      <w:r>
        <w:t>Le premier juge a mis trois cinquièmes des frais communs à la charge de V.________, un cinquième des frais communs à la charge de T.________ et un quinzième des frais communs chacune à la charge de l’appelante, de B.X.________ et de A.X.________, y compris deux quinzièmes chacune des indemnités des défenseurs d’office de V.________ et de T.________ à la charge de l’appelante, de A.X.________ et de B.X.________, V.________ devant assumer les trois cinquièmes de l’indemnité de son défenseur d’office et T.________ un cinquième de l’indemnité de son défenseur d’office. Le solde des frais a été laissé à la charge de l’Etat. En l’espèce, l’appelante a non seulement déposé plainte contre V.________ et contre T.________, lesquelles ont été acquittées d’une partie des accusations portées contre elles, mais elle a également pris part activement à la procédure en participant aux débats devant le Tribunal de police, en requérant la condamnation de ces deux prévenues et en formulant des prétentions en réparation du tort moral subi de 3'000 fr. à l’encontre V.________ (jugement p. 19), allouées à hauteur de 1'000 francs. L’appelante a également réclamé l’allocation d’une indemnité au sens de l’art. 429 CPP à la charge de l’Etat, subsidiairement d’une indemnité au sens de l’art. 433 CPP à la charge de V.________ et de T.________ (jugement</w:t>
      </w:r>
    </w:p>
    <w:p>
      <w:r>
        <w:t>- 28 - p. 20). Q.________ a donc la qualité de partie plaignante, et non de simple plaignante. La condition de la témérité ou de la négligence grave ne s'applique pas. N’ayant pas obtenu entièrement gain de cause, l’appelante doit ainsi assumer une partie des frais de justice, dont font partie les indemnités des défenseurs d’office de V.________ et de T.________ (art. 422 al. 2 let. a CPP), en lien avec les infractions dénoncées qui ne sont pas retenues, en application de l’art. 427 al. 2 let. a CPP. Les proportions d’un quinzième des frais communs et de deux quinzièmes des indemnités des défenseurs d’office de V.________ et de T.________ apparaissent parfaitement adéquates et peuvent être confirmées, étant rappelé que T.________ est entièrement acquittée s’agissant des dénonciations de l’appelante.</w:t>
      </w:r>
    </w:p>
    <w:p>
      <w:r>
        <w:rPr>
          <w:b/>
        </w:rPr>
        <w:t>E. 5.3.2</w:t>
      </w:r>
    </w:p>
    <w:p>
      <w:r>
        <w:t>En définitive, il faut considérer d’une part que le grief du défaut de motivation est vain, puisque le jugement entrepris est correctement motivé (jugement pp. 36 et 37). D’autre part, l’autorité d’appel disposant d’un plein pouvoir de cognition, d’éventuelles lacunes peuvent être complétées en deuxième instance de manière à réparer une éventuelle violation du droit d’être entendu de l’appelante, la motivation qui précède ayant le cas échéant réparé un éventuel vice à cet égard. Mal fondés, les moyens soulevés par l'appelante doivent être rejetés.</w:t>
      </w:r>
    </w:p>
    <w:p>
      <w:r>
        <w:rPr>
          <w:b/>
        </w:rPr>
        <w:t>E. 6.1</w:t>
      </w:r>
    </w:p>
    <w:p>
      <w:r>
        <w:t>L’appelante reproche encore au premier juge de ne pas lui avoir accordé l’entier de l’indemnité qu’elle réclamait au titre de l’art. 429 CPP. Elle fait valoir qu’une telle indemnité devait lui être accordée dès lors que les prévenues V.________ et T.________ sont dépourvues de moyens financiers suffisants pour l’assumer. Subsidiairement, l’appelante demande l’allocation d’une pleine indemnité au sens de l’art. 433 CPP, à la charge de V.________ à hauteur de 90% et de T.________ à hauteur de 10%.</w:t>
      </w:r>
    </w:p>
    <w:p>
      <w:r>
        <w:rPr>
          <w:b/>
        </w:rPr>
        <w:t>E. 6.2</w:t>
      </w:r>
    </w:p>
    <w:p>
      <w:r>
        <w:t>Aux termes de l'art. 429 al. 1 CPP, si le prévenu est acquitté totalement ou en partie ou s'il bénéficie d'une ordonnance de classement,</w:t>
      </w:r>
    </w:p>
    <w:p>
      <w:r>
        <w:t>- 29 -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Lorsque la partie plaignante ou le plaignant supporte les frais en application de l'art. 427 al. 2 CPP, une éventuelle indemnité allouée au prévenu peut en principe être mise à la charge de la partie plaignante ou du plaignant en vertu de l'art. 432 al. 2 CPP (TF 6B_459/2022 précité consid. 2.2 et la jurisprudence citée).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w:t>
      </w:r>
    </w:p>
    <w:p>
      <w:r>
        <w:t>- 30 -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question de l'indemnisation (art. 429 à 434 CPP) doit être traitée après celle des frais (TF 7B_18/2023 du 24 août 2023 consid. 3.1.2 ; TF 6B_762/2022 du 11 janvier 2023 consid. 2.1.2).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w:t>
      </w:r>
    </w:p>
    <w:p>
      <w:r>
        <w:rPr>
          <w:b/>
        </w:rPr>
        <w:t>E. 6.3</w:t>
      </w:r>
    </w:p>
    <w:p>
      <w:r>
        <w:t>Tenant compte des chefs d’accusation pour lesquels les prévenues V.________ et T.________ ont été acquittées, le premier juge, sans remettre en cause les prétentions alléguées par le conseil de choix de Q.________, par 5'591 fr. 50, débours compris, dans la liste des opérations produite (P. 57) a réduit l’indemnité réclamée par l’appelante de deux cinquièmes et mis par conséquent deux cinquièmes de l’indemnité à la charge de V.________ et un cinquième à la charge de T.________. En première instance, Q.________ a été acquittée de tous les chefs d’accusation qui lui avaient été imputés à l’origine, ce qui lui donne droit à une indemnité sous l’angle de l’art. 429 CPP ou de l’art. 432 CPP dès lors que V.________ a porté plainte contre elle (PV aud. 1). Tout bien considéré, pour tenir compte des frais engagés par l’appelante en sa qualité de partie plaignante, cette indemnité doit être fixée à deux tiers du montant réclamé et mise à la charge de V.________ en application de l’art.</w:t>
      </w:r>
    </w:p>
    <w:p>
      <w:r>
        <w:t>- 31 - 432 al. 2 CPP par renvoi de l’art. 430 al. 1 let. b CPP, ce qui résout la question de l’art. 429 CPP, le tiers restant représentant les frais engagés par l’appelante en sa qualité de partie plaignante. Pour l’indemnité de l’art. 433 CPP, l’appelante obtient la condamnation de V.________ pour lésions corporelles simples et injure, alors que T.________ est entièrement libérée des chefs de prévention d’injure et de contrainte pour les faits qu’elle a dénoncés contre celle-ci (P. 5). L’appelante a droit à une indemnité fondée sur l’art. 433 CPP, puisqu’elle obtient partiellement gain de cause vis-à-vis de V.________. L’indemnité due à ce titre à l’appelante par V.________ peut être fixée à la moitié du tiers restant, soit à 1/6. T.________, qui était au volant de la voiture dans laquelle se trouvait notamment V.________, a quant à elle favorisé l’affrontement en adoptant une conduite agressive, puis en s’arrêtant devant le domicile de Q.________ et en laissant V.________ sortir de son véhicule. Il n'est pas établi que T.________ ait retenu B.X.________ et d’autres membres de son camp pour que celles-ci ne puissent pas porter secours à l’appelante durant la bagarre (jugement pp. 33 ss), mais elle n’est pas intervenue pour tenter de calmer V.________. Au surplus, l’appelante n’a pas pris de conclusion civile à l’encontre de T.________, laquelle doit assumer la charge d’une partie des frais de première instance. Partant, l’indemnité réduite fondée sur les art. 432 et 433 CPP à laquelle peut prétendre l’appelante pour la procédure de première instance correspondra aux 5/6 (2/3 + 1/6) de l’indemnité totale alléguée, par 5'591 fr. 50, et sera arrêtée à 4'659 fr. 60 au total. Au vu des éléments exposés ci-avant, un ratio de 10% à la charge de T.________ correspondant à 559 fr. 15 (10% de 5'591 fr. 50) et de 90% à la charge de V.________ correspondant à 4'100 fr. 45 (4'659 fr. 60 – 559 fr. 15) est équitable. Le jugement doit ainsi être modifié dans cette mesure.</w:t>
      </w:r>
    </w:p>
    <w:p>
      <w:r>
        <w:t>- 32 -</w:t>
      </w:r>
    </w:p>
    <w:p>
      <w:r>
        <w:rPr>
          <w:b/>
        </w:rPr>
        <w:t>E. 7</w:t>
      </w:r>
    </w:p>
    <w:p>
      <w:r>
        <w:t>En définitive, l’appel interjeté par Q.________ doit être très partiellement admis et le jugement entrepris réformé dans le sens des considérants qui précèdent. Le conseil juridique gratuit de Q.________ a produit une liste d’opérations (P. 96) faisant état de 19h35 d’activité d’avocat. Dans la mesure où Me Malory Fagone avait une parfaite connaissance du dossier de la cause puisqu’elle avait déjà représenté la plaignante devant le premier juge, le temps allégué est excessif. Le temps consacré à la préparation de la déclaration d’appel, comptabilisé à hauteur de 7 h, doit être réduit à 4 h et le temps consacré à la préparation de la requête d’assistance judiciaire, par 30 mn, doit être réduit à 10 mn. Le solde du temps se rapportant à du travail de secrétariat, il ne doit pas être rémunéré. Le temps consacré à la préparation de l’audience d’appel, par 7h15, doit être réduit à 2 h, compte tenu de la connaissance du dossier acquise en première instance par le conseil. Il sera enfin tenu compte du temps effectif de l’audience qui a duré 1h35. L’indemnité d’office de Me Malory Fagone doit donc être fixée à 2'271 fr. 40, montant correspondant à 10h50 d’activité d’avocat breveté au tarif horaire de 180 fr., soit 1'950 fr., 162 fr. 40 de débours forfaitaires, une vacation à 120 fr. et 162 fr. 40 de TVA au taux de 7,7 % pour des activités antérieures au 1er janvier 2024 (art. 2 al. 1 let. a et 3bis al. 1 et al. 3 RAJ [règlement sur l’assistance judiciaire en matière civile du 7 décembre 2019 ; BLV 211.02.3], applicables par renvoi de l’art. 26b TFIP [tarif des frais de procédure et indemnités en matière pénale du 28 septembre 2010 ; BLV 312.03.1]). Le défenseur d’office de V.________ a produit une liste d’opérations (P. 100) faisant état de 8h35 d’activité d’avocat tenant compte de la durée de l’audience d’appel, dont il n’y a pas lieu de s’écarter. C’est ainsi une indemnité de 1'826 fr. 50 qui doit être allouée à Me Aba Neeman, montant correspondant à 8h35 d’activité d’avocat au tarif horaire de 180 fr., soit 1'545 fr., plus 30 fr. 90 de débours forfaitaires, une vacation à 120 fr. et 130 fr. 60 de TVA (art. 2 al. 1 let. a et 3bis al. 1 et al. 3 RAJ, applicables par renvoi de l’art. 26b TFIP).</w:t>
      </w:r>
    </w:p>
    <w:p>
      <w:r>
        <w:t>- 33 - Me Sophie Leuenberger a produit une liste d’opérations (P. 101) faisant état de 9.6 heures d’activité d’avocat. Le temps allégué est exagéré et doit être ramené à 6.6 heures. Le temps consacré aux recherches juridiques et à l’étude du dossier, comptabilisé à hauteur de 1.3 heures, n’est pas justifié et n’a pas à être rémunéré. Le temps consacré à la préparation de l’audience d’appel doit être réduit à 1 heure et les opérations postérieures à audience d’appel doivent être ramenées à 0.5 h. En outre, il convient de tenir compte du temps effectif de l’audience d’appel de 1.50 h. L’indemnité d’office de Me Sophie Leuenberger doit ainsi être fixée à 1'434 fr. 30, montant correspondant à 6.6 h d’activité d’avocat breveté au tarif horaire de 180 fr., soit 1'188 fr., 23 fr. 75 de débours forfaitaires, une vacation à 120 fr. et 102 fr. 55 de TVA (art. 2 al. 1 let. a et 3bis al. 1 et al. 3 RAJ, applicables par renvoi de l’art. 26b TFIP). Les frais de la procédure d’appel, par 8'652 fr. 20, sont constitués en l’espèce de l’émolument de jugement, par 3'120 fr. (art. 422 al. 1 CPP ; 21 al. 1 et 2 TFIP), ainsi que de l’indemnité allouée au conseil juridique gratuit de Q.________, par 2'271 fr. 40, de celle allouée au défenseur d’office de V.________, par 1'826 fr. 50, et de celle allouée au défenseur d’office de T.________, par 1'434 fr. 30. Vu le sort de la cause, l’émolument de jugement sera mis à raison des 4/5 à la charge de Q.________, soit 6'921 fr. 75, et à raison de 1/5 à la charge de V.________, soit 1'730 fr. 45. Les indemnités allouées au conseil juridique gratuit de Q.________, par 2'271 fr. 40, et au défenseur d’office de V.________, par 1'826 fr. 50, seront mises à raison des 4/5 à la charge de Q.________, soit 1'817 fr. 10 et 1'461 fr. 20, et à raison de 1/5 à la charge de V.________, soit 454 fr. 30 et 365 fr. 30, et l’indemnité allouée au défenseur d’office de T.________ sera mise à la charge de V.________, laquelle a conclu au rejet de l’appel. Q.________ et V.________ seront tenues de rembourser à l’Etat les parts des indemnités en faveur des conseils d’office Me Malory Fagone, Me Aba Neeman et Me Sophie Leuenberger mises à leur charge dès que leur situation financière le permettra (art. 135 al. 4 let. a CPP).</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