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PE20.022922 vom 19. Februar 2025</w:t>
      </w:r>
    </w:p>
    <w:p>
      <w:r>
        <w:t>VD Tribunal cantonal, 2025-02-19, FR</w:t>
      </w:r>
    </w:p>
    <w:p>
      <w:r>
        <w:rPr>
          <w:b/>
        </w:rPr>
        <w:t xml:space="preserve">Quelle: </w:t>
      </w:r>
      <w:r>
        <w:t>https://mcp.opencaselaw.ch/entscheid/vd_gerichte_PE20.022922</w:t>
      </w:r>
    </w:p>
    <w:p>
      <w:r>
        <w:t>FR: VD_GERICHTE PE20.022922 du 19 février 2025</w:t>
      </w:r>
    </w:p>
    <w:p>
      <w:r>
        <w:t>IT: VD_GERICHTE PE20.022922 del 19 febbraio 2025</w:t>
      </w:r>
    </w:p>
    <w:p>
      <w:pPr>
        <w:pStyle w:val="Heading2"/>
      </w:pPr>
      <w:r>
        <w:t>Erwägungen</w:t>
      </w:r>
    </w:p>
    <w:p>
      <w:r>
        <w:rPr>
          <w:b/>
        </w:rPr>
        <w:t>E. 22</w:t>
      </w:r>
    </w:p>
    <w:p>
      <w:r>
        <w:t>décembre 2020 consid. 4.1 ; TF 6B_1074/2019 du 14 novembre 2019 consid. 4.1 et les références citées).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123 IV 17 consid. 3c ; TF 6B_201/2021 précité consid. 3.3 et les références citées). L’art. 158 ch. 2 CP incrimine spécifiquement le fait d’abuser d’un pouvoir de représentation dans l’optique de s’enrichir aux dépens du représenté, en portant atteinte à ses intérêts pécuniaires (Dupuis et al.</w:t>
      </w:r>
    </w:p>
    <w:p>
      <w:r>
        <w:t>- 20 - [éd.], Petit commentaire, Code pénal, 2e éd., Bâle 2017, n. 32 ad art. 158 CP et les références citées). Le comportement délictueux consiste à abuser du pouvoir de représentation, c'est-à-dire à l'employer sur le plan externe, dans un rapport avec autrui, mais en violation des règles internes fixant les limites et les buts du pouvoir conféré (TF 6B_843/2022 ; TF 6B_164/2010 du 1er juin 2010 consid. 2.1.2 et les références citées). Jusqu’au 30 juin 2023, l’infraction de gestion déloyale était passible d’une peine privative de liberté de trois ans au plus ou d’une peine pécuniaire, respectivement d’une peine privative de liberté de un à cinq ans en cas de dessein d’enrichissement illégitime (ch. 1). En cas d’abus de pouvoir de représentation, la peine prévue était une peine privative de liberté de cinq ans au plus ou une peine pécuniaire (ch. 2). Depuis le 1er juillet 2023, la sanction prévue dans les deux cas de figure est une peine privative de liberté de cinq ans au plus ou une peine pécuniaire (selon la nouvelle teneur de cette disposition modifiée par la loi fédérale sur l’harmonisation des peines du 17 décembre 2021, en vigueur depuis le 1er juillet 2023 [RO 2023 259]). 3.3 3.3.1 On relèvera d’abord que U.________ et G.________ ont signé une convention mettant fin à tous leurs litiges tant civil que pénal (P. 76 produite à l’audience), et que par courrier séparé (P. 72/1), la société précitée a retiré la plainte pénale qu’elle avait déposée le 9 décembre 2020 contre son employé. On ne saurait toutefois déduire de ce qui précède que G.________ doit être libéré de toutes les infractions qui lui ont été reprochées. En effet, les infractions en cause se poursuivent d’office et il appartient à la Cour de céans d’examiner si le comportement adopté par le prénommé doit être réprimé pénalement. 3.3.2 S’agissant des cas n° 1 à 4, 7 et 8 ci-dessus, la Cour de céans considère que G.________, directeur responsable de la gestion du site de</w:t>
      </w:r>
    </w:p>
    <w:p>
      <w:r>
        <w:t>- 21 - Moudon au bénéfice d’une signature collective à deux, a pris un certain nombre de libertés parce qu’on lui faisait confiance ; il ressort du dossier que le prévenu était un bon employé et un maillon important de la société. Toutefois, à plusieurs reprises, il a fait annuler des factures qu’il avait reçues, relatives à du matériel qu’il avait commandé pour lui-même, parce qu’elles ne tenaient pas compte des rabais auxquels il avait droit. Au vu du flou administratif et comptable qui régnait dans l’entreprise, et le temps passant, les factures corrigées n’ont jamais été établies ; l’appelant a ainsi manqué de rigueur et n’a jamais payé le matériel emporté, portant ainsi atteinte aux intérêts pécuniaires de la société. Il a agi par dol éventuel, s’accommodant avec le temps que les factures ne soient pas réglées, au détriment de la société. On ne retiendra toutefois pas le dessein d’enrichissement illégitime, la Cour considérant qu’au moment où l’appelant a commandé le matériel et fait annuler les factures, il avait l’intention de payer ce qu’il devait à réception de la facture corrigée. L’argument convaincant de l’appelant, qui explique que s’il avait voulu s’enrichir, il aurait pu annuler seul les factures erronées, mais qu’il avait préféré passer par l’intermédiaire de ses collègues par souci de transparence, va également dans ce sens. De même, les montants dont le prévenu ne s’est pas acquitté sont relativement faibles eu égard à son salaire, ce qui renforce encore, pour autant que de besoin, la conviction de la Cour que G.________ ne cherchait pas à s’enrichir au détriment de U.________. Ainsi, par son comportement, le prévenu, qui avait la qualité de gérant, a violé son devoir de gestion en portant atteinte aux intérêts pécuniaires de U.________. Il s’est ainsi rendu coupable de gestion déloyale en relation avec les cas 1 à 4, 7 et 8. 3.3.3 S’agissant des cas n° 5 et 9, l’appelant a produit une copie du procès-verbal de l’audition (en procédure civile) de [...] représentant de U.________, dont il ressort en substance que celui-ci n’exclut pas que le montant de 19'406 fr. 95 payé par [...] SA corresponde aux factures relatives à ces deux cas. [...] a également expliqué qu’[...] SA était un gros client, qui payait par flot de factures des montants qui pouvaient aller</w:t>
      </w:r>
    </w:p>
    <w:p>
      <w:r>
        <w:t>- 22 - jusqu’à 200'000 fr. ; parfois cette société précisait les factures qu’elle souhaitait éteindre et lorsque ce n’était pas le cas, les montants étaient attribués aux factures les plus anciennes. [...] a encore précisé qu’[...] SA était un client à 5'000'000 fr. et que cette société était très fiable. On ne peut par conséquent pas exclure que la contre-valeur des objets qui sont allés chez [...] et [...] a été payée par le montant de 19'406 fr. 95 versé par [...] SA. A cela s’ajoute que U.________ ne parvient pas à expliquer à quoi auraient servi ce montant de 19'406 fr. 95. Au vu de ce qui précède, l’appelant doit être libéré des cas n° 5 et 9 pour lesquels le dommage n’est pas démontré. 3.3.4 S’agissant du cas n° 10, la Cour de céans retiendra que la réduction de 3'878 fr. 85 octroyée à [...] SA par l’appelant est à considérer comme un geste commercial qui n’a causé aucun préjudice à U.________. En effet, d’une part l’appelant n’avait aucun intérêt personnel à effectuer un tel rabais et, d’autre part, ce type de réduction « commerciale » permettait à U.________ d’atteindre un chiffre d’affaires avec [...] SA de 4 à 5 millions de francs par année. L’appelant sera par conséquent libéré pour ce cas. 4. 4.1 L’appelant étant libéré des cas 5, 9 et 10 en appel, ainsi que des infractions d’abus de confiance et de vol, il convient de revoir la peine prononcée à son encontre. 4.2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- 23 -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4.3 En l’occurrence, la culpabilité de G.________ n’est pas négligeable. Il faut retenir que, par ses agissements, il a porté atteinte à la confiance et au patrimoine de son employeur. Si le montant du préjudice reste moindre, il n’en demeure pas moins que le prévenu a agi à plusieurs reprises de la même manière et qu’il a manqué de rigueur alors que son employeur lui faisait confiance. A décharge, on relèvera que l’intéressé a admis en appel qu’il n’avait pas fait tout juste et qu’il aurait dû être proactif s’agissant des factures impayées, ce qui montre une certaine prise de conscience. On notera encore sa bonne insertion socio- professionnelle, l’ancienneté des faits et le retrait de plainte intervenu le 9 décembre 2020. C’est ainsi une peine pécuniaire de 60 jours-amende à 60 fr. qui sera prononcée à l’encontre de G.________ pour sanctionner son comportement fautif. Cette peine sera assortie du sursis dont il remplit les conditions. La durée sera de deux ans. 5. La plainte déposée par U.________ ayant été retirée et les faits étant relativement anciens, on renoncera à infliger à l’appelant une amende à titre de sanction immédiate au sens de l’art. 42 al. 4 CPP. Le chiffre V du dispositif du jugement entrepris sera par conséquent supprimé.</w:t>
      </w:r>
    </w:p>
    <w:p>
      <w:r>
        <w:t>- 24 - 6. En retirant sa plainte le 25 mars 2025, U.________ a renoncé à toutes prétentions pécuniaires dans le cadre de la procédure pénale, de sorte qu’il convient de supprimer les chiffres VI et VII du dispositif du jugement entrepris relatifs aux conclusions civiles, respectivement à l’allocation de dépens. 7. Dans la mesure où G.________ est libéré des infractions d’abus de confiance et de vol et qu’il est finalement condamné pour 6 cas au lieu de 10, les frais de première instance seront mis par moitié à sa charge, le solde étant laissé à la charge de l’Etat. 8. En définitive, l’appel doit être partiellement admis et le jugement entrepris réformé dans le sens des considérants qui précèdent. Me Jeton Kryeziu, défenseur d’office de l’appelant, a produit une liste de ses opérations faisant état de 14h35 d’activité au tarif d’avocat breveté, 6h30 au tarif d’avocat-stagiaire et 0h10 au tarif horaire de 200 francs. Ces durées sont adéquates et peuvent être admises. On ramènera toutefois les 0h10 minutes annoncées au tarif horaire de 200 fr. au tarif horaire usuel de 180 francs. En définitive, c’est une indemnité totale de 3'845 fr. 55 qui sera allouée à Me Jeton Kryeziu pour la procédure d’appel, correspondant à une activité d’avocat de 14h45 au tarif horaire de 180 fr., respectivement de 6h30 au tarif horaire de 110 fr. (art. 2 al. 1 let. a et b RAJ [règlement sur l’assistance judiciaire en matière civile du 7 décembre 2019 ; BLV 211.02.3], applicable par renvoi de l’art. 26b TFIP [tarif des frais de procédure et indemnités en matière pénale du 28 septembre 2010 ; BLV 312.03.1]), par 3'370 fr., à des débours forfaitaires à hauteur de 2 % des honoraires admis, soit 67 fr. 40, à une vacation à 120 fr. (art. 3bis al. 1 et al. 3 RAJ) et à un montant de 288 fr. 15 correspondant à la TVA au taux de 8,1 % sur le tout. Vu l’issue de la cause, les frais de la procédure d’appel, constitués des émoluments de jugement, par 1’870 fr., et d’audience, par 400 fr. (art. 21 al. 1 et 2 TFIP), ainsi que des frais imputables à la défense</w:t>
      </w:r>
    </w:p>
    <w:p>
      <w:r>
        <w:t>- 25 - d’office, par 3'845 fr. 55, seront mis par moitié à la charge de l’appelant, le solde étant laissé à la charge de l’Etat. L’appelant sera tenu de rembourser à l’Etat de Vaud le montant de l’indemnité en faveur de son défenseur d’office mis à sa charge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