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PE20.022567 vom 24. Juni 2021</w:t>
      </w:r>
    </w:p>
    <w:p>
      <w:r>
        <w:t>VD Tribunal cantonal, 2021-06-24, FR</w:t>
      </w:r>
    </w:p>
    <w:p>
      <w:r>
        <w:rPr>
          <w:b/>
        </w:rPr>
        <w:t xml:space="preserve">Quelle: </w:t>
      </w:r>
      <w:r>
        <w:t>https://mcp.opencaselaw.ch/entscheid/vd_gerichte_PE20.022567</w:t>
      </w:r>
    </w:p>
    <w:p>
      <w:r>
        <w:t>FR: VD_GERICHTE PE20.022567 du 24 juin 2021</w:t>
      </w:r>
    </w:p>
    <w:p>
      <w:r>
        <w:t>IT: VD_GERICHTE PE20.022567 del 24 giugno 2021</w:t>
      </w:r>
    </w:p>
    <w:p>
      <w:pPr>
        <w:pStyle w:val="Heading2"/>
      </w:pPr>
      <w:r>
        <w:t>Erwägungen</w:t>
      </w:r>
    </w:p>
    <w:p>
      <w:r>
        <w:rPr>
          <w:b/>
        </w:rPr>
        <w:t>E. 1.1</w:t>
      </w:r>
    </w:p>
    <w:p>
      <w:r>
        <w:t>; TF 6B_152/2013 du 27 mai 2013 consid. 4.5). Seul le prévenu dûment informé peut valablement renoncer à la protection judiciaire garantie par l’art. 29a Cst. (Constitution fédérale de la Confédération suisse du 18 avril 1999 ; RS 101) en lien avec l’art. 30 Cst. (ATF 142 IV 158 consid. 3.4, JdT 2017 IV 46 ; ATF 140 IV 82 consid. 2.6, JdT 2014 IV 301). Demeurent réservés les cas d’abus de droit (ibidem).</w:t>
      </w:r>
    </w:p>
    <w:p>
      <w:r>
        <w:rPr>
          <w:b/>
        </w:rPr>
        <w:t>E. 1.1.3</w:t>
      </w:r>
    </w:p>
    <w:p>
      <w:r>
        <w:t>et les arrêts cités).</w:t>
      </w:r>
    </w:p>
    <w:p>
      <w:r>
        <w:rPr>
          <w:b/>
        </w:rPr>
        <w:t>E. 1.2</w:t>
      </w:r>
    </w:p>
    <w:p>
      <w:r>
        <w:t>L'art. 395 let. a CPP prévoit que, si l’autorité de recours est un tribunal collégial – ce qui est le cas de la Chambre des recours pénale du Tribunal cantonal, laquelle statue à trois juges (art. 67 al. 1 let. 1 LOJV ; art. 12 al. 1 ROTC [règlement organique du Tribunal cantonal du 13 novembre 2007; BLV 173.31.1]) –, sa direction de la procédure statue seule sur le recours lorsqu’il porte exclusivement sur des contraventions. Tel est le cas en l’espèce, de sorte qu’un membre de la Chambre des recours pénale est compétent pour statuer en tant que juge unique (art. 13 al. 2 LVCPP [loi d'introduction du Code de procédure pénale suisse du 19 mai 2009 ; BLV 312.01] ; Juge unique CREP 11 décembre 2017/854 ; Juge unique CREP 24 mars 2017/194).</w:t>
      </w:r>
    </w:p>
    <w:p>
      <w:r>
        <w:rPr>
          <w:b/>
        </w:rPr>
        <w:t>E. 2</w:t>
      </w:r>
    </w:p>
    <w:p>
      <w:r>
        <w:t>juillet 2018/502 ; CREP 6 décembre 2017/844), par le prévenu qui a</w:t>
      </w:r>
    </w:p>
    <w:p>
      <w:r>
        <w:t>- 4 - qualité pour recourir (art. 382 al. 1 CPP) et dans les formes prescrites (art. 385 al. 1 CPP), le recours est recevable.</w:t>
      </w:r>
    </w:p>
    <w:p>
      <w:r>
        <w:rPr>
          <w:b/>
        </w:rPr>
        <w:t>E. 2.1</w:t>
      </w:r>
    </w:p>
    <w:p>
      <w:r>
        <w:t>Le recourant soutient qu’il est la cible « d’incohérences judiciaires » et qu’il est « totalement grotesque d’intervenir pour un port du masque supposément non-réglementaire et de statuer sur des motifs qui n’en font aucunement mention, autant qu’il est totalement irrespectueux de refuser de rendre justice sous prétexte qu’un citoyen refuse de se soumettre au port du masque, alors que les raisons non médicales sont tout aussi valables pour se soustraire à cette obligation ».</w:t>
      </w:r>
    </w:p>
    <w:p>
      <w:r>
        <w:rPr>
          <w:b/>
        </w:rPr>
        <w:t>E. 2.2.1</w:t>
      </w:r>
    </w:p>
    <w:p>
      <w:r>
        <w:t>Aux termes de l’art. 356 al. 4 CPP, si l’opposant fait défaut aux débats sans être excusé et sans se faire représenter, son opposition est réputée retirée. Compte tenu de l’importance fondamentale que revêt le droit d’opposition, le retrait par actes concluants d’une opposition à une ordonnance pénale ne peut être admis que si l’on doit déduire du</w:t>
      </w:r>
    </w:p>
    <w:p>
      <w:r>
        <w:t>- 5 - comportement général de la personne concernée et de son désintérêt pour la suite de la procédure pénale qu’elle a renoncé en connaissance de cause à la protection dont elle jouit en vertu de la loi. La fiction du retrait de l’opposition que la loi rattache au défaut non excusé (cf. art. 355 al. 2 et 356 al. 4 CPP) suppose que le prévenu soit conscient des conséquences de son manquement et qu’il renonce à ses droits en toute connaissance de la situation juridique déterminante (ATF 146 IV 30 consid. 1.1.1; ATF 142 IV 158 consid. 3.1, JdT 2017 IV 46 ; ATF 140 IV 82 consid. 2.3, JdT 2014 IV 301 ; TF 6B_1297/2018 du 6 février 2019 consid.</w:t>
      </w:r>
    </w:p>
    <w:p>
      <w:r>
        <w:rPr>
          <w:b/>
        </w:rPr>
        <w:t>E. 2.2.2</w:t>
      </w:r>
    </w:p>
    <w:p>
      <w:r>
        <w:t>La jurisprudence fédérale ne semble jamais avoir tranché la question des conséquences du départ du prévenu en cours d’audience. Les commentateurs se référent à l’ancienne pratique genevoise, qui retient qu’en application du principe « olim praesens, semper praesens » (présent un jour, présent toujours), le prévenu qui quitte le tribunal après l’ouverture des débats et le traitement des questions préjudicielles est réputé présent, de sorte qu’il n’est ici pas question d’entreprendre une procédure par défaut, mais de poursuivre une procédure contradictoire ordinaire (Jeanneret/Kuhn, Précis de procédure pénale, 2e éd., Berne 2018, n. 17087 ; Parein/Parein-Reymond/Thalmann, in : Jeanneret et alii [éd.], Commentaire romand, Code de procédure pénale suisse, 2e éd., Bâle 2019, n. 26 ad art. 366 CPP). La pratique vaudoise allait d’ailleurs dans le même sens, le moment déterminant étant l’ouverture des débats (Bovay et alii, Procédure pénale vaudoise, 2004, n. 1 ad art. 399 CPP-VD : cf. aussi SJ 2000 I p. 241).</w:t>
      </w:r>
    </w:p>
    <w:p>
      <w:r>
        <w:rPr>
          <w:b/>
        </w:rPr>
        <w:t>E. 2.3</w:t>
      </w:r>
    </w:p>
    <w:p>
      <w:r>
        <w:t>En l’occurrence, le prévenu étant présent à l’ouverture des débats, il ne pouvait ensuite être considéré comme défaillant et se voir</w:t>
      </w:r>
    </w:p>
    <w:p>
      <w:r>
        <w:t>- 6 - opposé les conséquences de l’art. 356 al. 4 CPP, d’autant plus qu’il avait montré, en comparaissant, sa volonté et son intérêt pour la suite de la procédure ; on ne peut pas dès lors considérer qu’il a renoncé à ses droits en connaissance de cause en cours d’instruction (ATF 146 IV 30 consid.</w:t>
      </w:r>
    </w:p>
    <w:p>
      <w:r>
        <w:rPr>
          <w:b/>
        </w:rPr>
        <w:t>E. 3</w:t>
      </w:r>
    </w:p>
    <w:p>
      <w:r>
        <w:t>Partant, le recours doit être admis et le dossier de la cause renvoyé au Tribunal de police pour qu’il procède à l’instruction de la cause après avoir repris les débats. Vu l'issue du litige, les frais d'arrêt, par 540 fr. (art. 20 al. 1 TFIP [tarif des frais de procédure et indemnités en matière pénale du 28 septembre 2010 ; BLV 312.03.1]), seront laissés à la charge de l’Etat (art. 428 al. 4 CPP). Par ces motifs, le juge unique prononce : I. Le recours est admis. II. Le jugement du 16 mars 2021 est annulé. III. Le dossier de la cause est renvoyé au Tribunal de police de l’arrondissement de l’Est vaudois pour qu’il procède dans le sens des considérants. IV. Les frais d’arrêt, par 540 fr. (cinq cent quarante francs), sont laissés à la charge de l’Etat. V. L’arrêt est exécutoire. Le juge unique : La greffière :</w:t>
      </w:r>
    </w:p>
    <w:p>
      <w:r>
        <w:t>- 7 - Du Le présent arrêt, dont la rédaction a été approuvée à huis clos, est notifié, par l'envoi d'une copie complète, à : - K.________, - Ministère public central, et communiqué à : - Mme la Vice-présidente du Tribunal de police de l’arrondissement de l’Est vaudois, - Commission de police de l’Association Sécurité Riviera,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