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PE20.022371 vom 18. November 2023</w:t>
      </w:r>
    </w:p>
    <w:p>
      <w:r>
        <w:t>VD Tribunal cantonal, 2023-11-18, FR</w:t>
      </w:r>
    </w:p>
    <w:p>
      <w:r>
        <w:rPr>
          <w:b/>
        </w:rPr>
        <w:t xml:space="preserve">Quelle: </w:t>
      </w:r>
      <w:r>
        <w:t>https://mcp.opencaselaw.ch/entscheid/vd_gerichte_PE20.022371</w:t>
      </w:r>
    </w:p>
    <w:p>
      <w:r>
        <w:t>FR: VD_GERICHTE PE20.022371 du 18 novembre 2023</w:t>
      </w:r>
    </w:p>
    <w:p>
      <w:r>
        <w:t>IT: VD_GERICHTE PE20.022371 del 18 novembre 2023</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Le prévenu conteste l’appréciation faite par le Tribunal d’arrondissement de Lausanne. Il invoque une « violation de l’art. 286 CP ». En réalité, il s’en prend à l’appréciation des preuves, contestant le comportement que le Tribunal lui a finalement prêté. Il nie ainsi s’être débattu et précise que lorsqu’il a dit aux débats de première instance que les policiers avaient fini par le maîtriser, il voulait en réalité expliquer que les agents lui avaient fait une clé de bras et non qu’il se débattait. X.________ fait encore valoir que si le rapport de police lui prête une</w:t>
      </w:r>
    </w:p>
    <w:p>
      <w:r>
        <w:t>- 10 - attitude menaçante, l’appointé F.________ avait déclaré aux débats que ce n’était pas son attitude qui était menaçante, mais sa proximité de l’interpellation. Il rappelle que ce policier avait précisé avoir eu « un geste » à son encontre en lui demandant de reculer, et que c’était en réaction à ce geste que X.________ avait commencé à parler fort et à ergoter. Quant au second policier, soit W.________, il n’avait pas indiqué que l’appelant s’était débattu. Pour le reste, X.________ soutient que les déclarations de cet agent, notamment le fait qu’il s’était retrouvé au milieu de la route, seraient contredites par les autres éléments du dossier, et rappelle que le témoin [...], avait déclaré qu’il ne s’était pas débattu. Selon l’appelant, ces éléments devaient conduire à son acquittement du chef de prévention d’empêchement d’accomplir un acte officiel. L’appelant conclut également à sa libération de la contravention à l’art. 29 RGP, dès lors que selon lui personne ne lui aurait demandé de s’éloigner de la zone de contrôle et qu’il ne gênait pas.</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- 11 -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w:t>
      </w:r>
    </w:p>
    <w:p>
      <w:r>
        <w:t>- 12 - termes, ce n'est ni le genre ni le nombre des preuves qui est déterminant, mais leur force de persuasion (Verniory, in : CR CPP, op. cit., n. 34 ad art. 10 CPP et réf. cit.).</w:t>
      </w:r>
    </w:p>
    <w:p>
      <w:r>
        <w:rPr>
          <w:b/>
        </w:rPr>
        <w:t>E. 3.2.2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précité ; Corboz, op. cit., n. 13 ad art. 286 CP).</w:t>
      </w:r>
    </w:p>
    <w:p>
      <w:r>
        <w:t>- 13 -</w:t>
      </w:r>
    </w:p>
    <w:p>
      <w:r>
        <w:rPr>
          <w:b/>
        </w:rPr>
        <w:t>E. 3.2.3</w:t>
      </w:r>
    </w:p>
    <w:p>
      <w:r>
        <w:t>supra).</w:t>
      </w:r>
    </w:p>
    <w:p>
      <w:r>
        <w:t>- 15 - A titre superfétatoire, il convient de relever que ces qualifications juridiques sont généreuses, tant l’art. 286 CP aurait pu être retenu déjà pour les perturbations causées au contrôle de police. La réformatio in pejus étant toutefois prohibée, il convient de les confirmer.</w:t>
      </w:r>
    </w:p>
    <w:p>
      <w:r>
        <w:rPr>
          <w:b/>
        </w:rPr>
        <w:t>E. 3.3</w:t>
      </w:r>
    </w:p>
    <w:p>
      <w:r>
        <w:t>En l’occurrence, le premier juge a soigneusement expliqué les raisons pour lesquelles il retenait certains éléments du dossier, notamment le rapport de police, et pourquoi il accordait moins de poids à d’autres, en particulier les témoignages de [...] et [...]. S’agissant de la gêne occasionnée par la présence du prévenu, le Tribunal a ainsi retenu que le rapport de police, rédigé une quinzaine de jours après les faits, indiquait que les policiers étaient placés à l’arrêt de bus et que le véhicule contrôlé venait d’être stationné plus loin par leurs services, lorsqu’un individu, identifié par la suite comme étant l’appelant, s’était approché d’eux ; entendu en qualité de témoin plus d’une année après, l’appointé F.________ avait tenu un discours similaire, sous réserve de la distance de 20 à 30 centimètres, qui ne paraissait pas correspondre à la distance observée sur la vidéo, qui devait être d’un à deux mètres. Ensuite, le Tribunal de police a évoqué que l’audition du second policier, soit W.________, corroborait également les dires de son collègue, sous réserve qu’il avait indiqué que le prévenu se trouvait au milieu de la route, ce que la vidéo permettait d’infirmer ; ce second témoignage étant toutefois intervenu presque deux ans après les faits, cela pouvait expliquer quelques inexactitudes. Quant aux témoignages de [...] et de [...], le Tribunal a rappelé que le premier avait déclaré qu’il ne se souvenait de rien car il était ivre ce soir-là et que la seconde avait dit avoir des souvenirs plutôt vagues et présentait un taux d’alcool de 1.22 0/00. Quant aux déclarations du prévenu, elles n’apportaient pas d’éléments utiles supplémentaires. Pour ces raisons, le Tribunal a retenu que le prévenu avait sorti son téléphone portable à l’arrêt de bus pour filmer le contrôle de police à une distance d’un ou deux mètres.</w:t>
      </w:r>
    </w:p>
    <w:p>
      <w:r>
        <w:t>- 14 - S’agissant des reproches faits au prévenu en relation avec son opposition aux injonctions de policiers qui lui demandaient de s’éloigner de la zone de contrôle et d’arrêter de filmer, le Tribunal a en substance considéré que les témoignages de F.________ et de W.________ étaient précis, rappelant en outre qu’ils s’agissaient de deux agents assermentés, et que toutes les parties s’accordaient sur le fait que des renforts avaient été appelés, ce qui démontrait que X.________ était agité. Tout bien considéré, le premier juge a retenu que le prévenu s’était débattu au moment où il avait été poussé. Compte tenu de l’ensemble de ces circonstances, le Tribunal est parvenu à la conclusion que le prévenu avait fortement perturbé le déroulement du contrôle effectué par la police. En l’occurrence, le raisonnement et les conclusions du premier juge ne prêtent pas le flanc à la critique. En effet sur la vidéo, on voit clairement que l’appelant interfère avec le contrôle de police qui ne le concerne en rien et dont il s’approche pour filmer à faible distance, troublant ainsi les opérations en cours. L’appelant n’est pas crédible quand il soutient qu’on ne lui aurait pas demandé d’arrêter de filmer puisqu’on constate qu’à chaque regard ou intervention d’un policier, il détourne vite sa caméra, comme s’il était pris en faute. Ensuite, il n’y a aucune raison de s’écarter du rapport de police, établi quinze jours après les faits, et il est juste de le préférer aux dépositions de ses auteurs intervenues plusieurs mois plus tard. Que les témoins n’aient pas vu l’appelant se débattre n’y change rien. L’appréciation des preuves faite par l’autorité de première instance échappe donc à la critique et doit être confirmée. Les qualifications juridiques retenues par le Tribunal peuvent également être confirmées. En effet, le comportement de X.________, qui s’est débattu lorsqu’il a été fouillé, ce qui a eu pour effet d’interrompre, ou à tout le moins de retarder, le bon déroulement du contrôle de police, remplit les conditions de l’art. 286 CP (cf. consid. 3.2.2 supra) ; de même, en refusant de s’éloigner de la zone de contrôle et d’arrêter de filmer, il s’est rendu coupable de contravention au sens de l’art. 29 RGP (cf. consid.</w:t>
      </w:r>
    </w:p>
    <w:p>
      <w:r>
        <w:rPr>
          <w:b/>
        </w:rPr>
        <w:t>E. 4</w:t>
      </w:r>
    </w:p>
    <w:p>
      <w:r>
        <w:t>L'appelant, qui conclut à son acquittement, ne conteste pas la peine en tant que telle. Celle-ci doit toutefois être vérifiée d’office.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4.2</w:t>
      </w:r>
    </w:p>
    <w:p>
      <w:r>
        <w:t>Procédant à son examen d’office, la Cour de céans considère que la peine pécuniaire de 10 jours-amende à 30 fr. et l’amende de 100 fr. prononcées par la première juge sont adéquates, de même que la peine</w:t>
      </w:r>
    </w:p>
    <w:p>
      <w:r>
        <w:t>- 16 - privative de liberté de substitution en cas de non-paiement fautif de l’amende. Ces peines ont été fixées selon les critères légaux et la culpabilité de l’appelant, qui n’est pas anodine, celui-ci s’étant confronté à des policiers dans l’exercice de leurs fonctions. A décharge, comme le premier juge, la Cour de céans constate qu’il n’y a que peu d’éléments, si ce n’est qu’il ressort du dossier que X.________ s’est finalement montré raisonnable, ce qui avait permis aux policiers de le désentraver et de le laisser aller au terme de leur intervention. Pour le surplus, il peut être renvoyé à la motivation du jugement attaqué (jugement attaqué, pp. 14- 15 ; art. 82 al. 4 CPP), qui est claire et convaincante. Les conditions du sursis sont par ailleurs réalisées.</w:t>
      </w:r>
    </w:p>
    <w:p>
      <w:r>
        <w:rPr>
          <w:b/>
        </w:rPr>
        <w:t>E. 5</w:t>
      </w:r>
    </w:p>
    <w:p>
      <w:r>
        <w:t>Il résulte de ce qui précède que l’appel doit être rejeté et le jugement entrepris entièrement confirmé. Vu le sort de l’appel, il ne sera alloué aucune indemnité à X.________. Les frais de la procédure d'appel, par 1'500 fr., comprenant l’émolument de jugement et d’audience (art. 21 al. 1 et 2 TFIP), seront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