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PE20.022252 vom 5. Oktober 2021</w:t>
      </w:r>
    </w:p>
    <w:p>
      <w:r>
        <w:t>VD Tribunal cantonal, 2021-10-05, FR</w:t>
      </w:r>
    </w:p>
    <w:p>
      <w:r>
        <w:rPr>
          <w:b/>
        </w:rPr>
        <w:t xml:space="preserve">Quelle: </w:t>
      </w:r>
      <w:r>
        <w:t>https://mcp.opencaselaw.ch/entscheid/vd_gerichte_PE20.022252</w:t>
      </w:r>
    </w:p>
    <w:p>
      <w:r>
        <w:t>FR: VD_GERICHTE PE20.022252 du 5 octobre 2021</w:t>
      </w:r>
    </w:p>
    <w:p>
      <w:r>
        <w:t>IT: VD_GERICHTE PE20.022252 del 5 ottobre 2021</w:t>
      </w:r>
    </w:p>
    <w:p>
      <w:pPr>
        <w:pStyle w:val="Heading2"/>
      </w:pPr>
      <w:r>
        <w:t>Erwägungen</w:t>
      </w:r>
    </w:p>
    <w:p>
      <w:r>
        <w:rPr>
          <w:b/>
        </w:rPr>
        <w:t>E. 29</w:t>
      </w:r>
    </w:p>
    <w:p>
      <w:r>
        <w:t>juin 2021 de la Chambre de céans. Le Ministère public ne s’est pas déterminé. En d roit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 2. La recourante considère en substance que tous ses griefs sont circonstanciés et que les accusations de S.________ sont, à l’inverse, démenties par les éléments qu’elle a produits.</w:t>
      </w:r>
    </w:p>
    <w:p>
      <w:r>
        <w:t>- 6 - 2.1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w:t>
      </w:r>
    </w:p>
    <w:p>
      <w:r>
        <w:t>- 7 - 2.2.1 A teneur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celui qui aurai propagé une telle accusation ou un tel soupçon, sera, sur plainte, puni d’une peine pécuniaire (ch. 1). L'honneur protégé par le droit pénal est conçu de façon générale comme un droit au respect, qui est lésé par toute assertion propre à exposer la personne visée au mépris en sa qualité d'homme (ATF 145 IV 462 consid. 4.2.2 ; ATF 137 IV 313 consid. 2.1.1; ATF 132 IV 112 consid. 2.1; ATF 128 IV 53 consid. 1 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la). il y a atteinte à l’honneur si on évoque une infraction pénale ou un comportement clairement réprouvé par les conceptions morales généralement admises (ATF 145 IV 462 consid. 4.2.2 ; TF 6B_1215/2020 du 22 avril 2021 consid. 3.1).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145 IV 462 consid. 4.2.3 ; ATF 137 IV 313 consid. 2.1.3). La diffamation est une infraction intentionnelle (Corboz, Les infractions en droit suisse, 3e éd., vol. I, Berne 2010, n. 48 ad art. 173 CP). 2.2.2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w:t>
      </w:r>
    </w:p>
    <w:p>
      <w:r>
        <w:t>- 8 - disposition à la condition de s’être exprimée de bonne foi, de s’être limitée aux déclarations nécessaires et pertinentes et d’avoir présenté comme telles de simples suppositions (TF 6B_1254/2019 du 16 mars 2020 consid. 7.1 et les références citées). 2.2.3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op. cit.,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6B_1047/2019 précité). Il faut se placer exclusivement sur les éléments dont il avait connaissance à l’époque de sa déclaration (ibid.).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6B_1126/2020 du 10 juin 2021 consid. 3.1 : TF 6B_1268/2019 précité). 2.3 En l’espèce, la procureure a considéré qu’il n’était pas arbitraire de retenir que S.________ était manifestement de bonne foi au vu du litige l’opposant à L.________. La magistrate a en conséquence fait application de l’art. 173 ch. 2 CP. Force est d’emblée de constater que la plupart des propos rapportés par la recourante ne sont pas constitutifs de diffamation et ont trait au litige civil qui la divise de son ancienne locataire. Ainsi, le fait que</w:t>
      </w:r>
    </w:p>
    <w:p>
      <w:r>
        <w:t>- 9 - L.________ poserait de nombreux problèmes à S.________ n’est pas diffamatoire à partir du moment où les prénommées sont en litige concernant le bail. Lorsque S.________ relate que le bail ne semble pas conventionnel, elle ne tient pas non plus de propos diffamatoires, d’abord parce qu’un bail à loyer échelonné est effectivement peu conventionnel pour un tel logement, mais encore parce qu’une telle affirmation ne fait pas passer la bailleresse pour une personne méprisable. Il en va de même des allégations de S.________ selon lesquelles elle n’aurait pas eu d’autre choix que d’accepter les conditions étranges du loyer proposé par L.________ car les autres gérances refusaient son dossier, et la propriétaire serait intransigeante et empêcherait par là-même une négociation. Quant à l’état des meubles décrit par S.________, cela relève manifestement du droit civil et ne revêt aucune composante pénale. Il en va de même de l’affirmation selon laquelle la bailleresse aurait conservé une clef de son appartement, respectivement qu’elle aurait dû souffrir des visites de personnes intéressées à acheter l’appartement qu’elle louait sans avoir été avisée ou tandis qu’elle était absente, des bâches de location qui empêcheraient la fermeture des volets, du bruit occasionné par les voisins, des dégâts, des factures et des travaux divers. Toutefois, des éléments potentiellement attentatoires à l’honneur ressortent de la demande de mise en place d’un hébergement d’urgence adressée le 10 novembre 2021 au Service social ainsi que de la requête que S.________ a adressée à la commission de conciliation le 26 novembre 2020. A teneur de ces écrits, la prévenue aurait subi des pressions psychologiques, du harcèlement moral et de l’agressivité de la part de sa bailleresse et de son voisinage. Or, le harcèlement obsessionnel (ou « stalking ») peut, dans certains cas, réaliser l’infraction de contrainte (cf. ATF 129 IV 262 consid. 2.3 à 2.5 ; TF 6B_559/2020 du 23 septembre 2020) et, comme à l’a vu (cf. supra consid. 2.2.1), évoquer la commission d’une infraction pénale est attentatoire à l’honneur.</w:t>
      </w:r>
    </w:p>
    <w:p>
      <w:r>
        <w:t>- 10 - Dans ces conditions, la Procureure devait d’abord interpréter objectivement toutes les assertions en cause pour voir si elles étaient attentatoires à l’honneur à cet égard, puis examiner si la prévenue pouvait se prévaloir de l’art. 14 CP lorsqu’elle a allégué, à l’appui de sa requête à l’autorité de conciliation, avoir été victime de tels faits (cf. supra consid. 2.2.3). Or, un tel examen n’a pas été fait. En outre, S.________ ne s’est pas clairement expliquée sur les accusations portées à l’endroit de L.________, lors des deux auditions menées par la police (PV aud. 1 et 3). On ne peut donc pas non plus considérer d’emblée qu’elle ait tenu pour vrais les propos qu’elle a exprimés auprès de sa psychiatre et de sa psychologue, d’une part, et qu’elle a écrits à l’autorité de conciliation en matière de baux à loyer d’autre part, ou qu’elle avait de sérieuses raisons de le croire. On ne peut donc pas conclure qu’elle n’a pas agi dans le but principal de dire du mal d’autrui et qu’elle ne s’est pas exprimée sans motif suffisant. A ce stade, les deux conditions cumulatives pour se voir admettre le droit d’opposer les preuves libératoires au sens de l’art. 173 ch. 3 CP ne sont manifestement pas établies. C’est donc à tort que la Procureure a retenu que la prévenue était manifestement de bonne foi. Dans ces conditions, c’est à tort que la Procureure a rendu une ordonnance de non-entrée en matière. Il lui incombera d’ouvrir une instruction et d’entendre la prévenue sur le détail des prétendues pressions psychologiques ou le prétendu harcèlement dont elle s’est plainte auprès de son médecin et dans sa requête à l’autorité de conciliation et mener toutes mesures utiles à cet égard. Ceci fait, elle devra procéder à une interprétation objective des passages litigieux et le cas échéant examiner si la prévenue peut se prévaloir, pour la requête déposée devant la commission de conciliation, du fait justificatif de l’art. 14 CP et, subsidiairement, si elle peut être admise à apporter les preuves libératoires, dans l’hypothèse où elle invoquerait l’une d’elles. 3. Il résulte de ce qui précède que le recours doit être admis, l’ordonnance entreprise annulée et le dossier de la cause renvoyé au</w:t>
      </w:r>
    </w:p>
    <w:p>
      <w:r>
        <w:t>- 11 - Ministère public de l'arrondissement du Nord vaudois pour qu'il procède dans le sens des considérants. Vu l’admission du recours, les frais de la procédure, constitués en l’espèce du seul émolument d’arrêt (art. 422 al. 1 CPP), par 1’100 fr. (art. 20 al. 1 TFIP [Tarif des frais de procédure et indemnités en matière pénale du 28 septembre 2010 ; BLV 312.03.1]), seront laissés à la charge de l’Etat (art. 428 al. 4 CPP). Le montant de 550 fr. versé par la recourante à titre de sûretés lui sera par ailleurs restitué (art. 7 TFIP). Il est enfin précisé qu’à ce stade, S.________ ne participe pas à la procédure et que c’est à tort que le Ministère public lui a communiqué une copie de l’ordonnance attaquée. Compte tenu de cette communication préalable, une copie du présent arrêt sera tout de même adressée à cette dernière. Par ces motifs, la Chambre des recours pénale prononce : I. Le recours est admis. II. L’ordonnance du 7 juin 2021 est annulée. III. Le dossier de la cause est renvoyé au Ministère public de l’arrondissement du Nord vaudois pour qu’il procède dans le sens des considérants. IV. Les frais d’arrêt, par 1’100 fr. (mille cent francs), sont laissés à la charge de l’Etat. V. Le montant de 550 fr. (cinq cent cinquante francs) versé par L.________ à titre de sûretés lui est restitué. VI. L’arrêt est exécutoire. Le président : La greffière :</w:t>
      </w:r>
    </w:p>
    <w:p>
      <w:r>
        <w:t>- 12 - Du Le présent arrêt, dont la rédaction a été approuvée à huis clos, est notifié, par l'envoi d'une copie complète, à : - Mme L.________, - Ministère public central, et communiqué à : - Mme la Procureure de l’arrondissement du Nord vaudois, - Mme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