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PE20.022093 vom 20. Juli 2022</w:t>
      </w:r>
    </w:p>
    <w:p>
      <w:r>
        <w:t>VD Tribunal cantonal, 2022-07-20, FR</w:t>
      </w:r>
    </w:p>
    <w:p>
      <w:r>
        <w:rPr>
          <w:b/>
        </w:rPr>
        <w:t xml:space="preserve">Quelle: </w:t>
      </w:r>
      <w:r>
        <w:t>https://mcp.opencaselaw.ch/entscheid/vd_gerichte_PE20.022093</w:t>
      </w:r>
    </w:p>
    <w:p>
      <w:r>
        <w:t>FR: VD_GERICHTE PE20.022093 du 20 juillet 2022</w:t>
      </w:r>
    </w:p>
    <w:p>
      <w:r>
        <w:t>IT: VD_GERICHTE PE20.022093 del 20 luglio 2022</w:t>
      </w:r>
    </w:p>
    <w:p>
      <w:pPr>
        <w:pStyle w:val="Heading2"/>
      </w:pPr>
      <w:r>
        <w:t>Erwägungen</w:t>
      </w:r>
    </w:p>
    <w:p>
      <w:r>
        <w:rPr>
          <w:b/>
        </w:rPr>
        <w:t>E. 25</w:t>
      </w:r>
    </w:p>
    <w:p>
      <w:r>
        <w:t>avril 2018 consid. 1.1). 3.3 En l’espèce, les chiffres de l’acte d’accusation pour lesquels l’appelant a été condamné pour recel (cas 3 à 5, 7 et 9) mentionnent tous que les objets dérobés ont été retrouvés chez lui (ou, s’agissant du cas 5, chez O.________ après qu’il avait déposé le téléphone volé là-bas). L’accusation subsidiaire de recel, à défaut du vol, est en outre proposée pour l’ensemble de ces cas. Même si l’acte d’accusation n’est pas extrêmement précis, il l’est suffisamment pour que le prévenu ait pu comprendre de manière claire ce qu’il lui était reproché, ce d’autant plus qu’il est assisté par un défenseur d’office depuis le début de la procédure. Partant, il n’existe pas de violation de la maxime d’accusation. 4. 4.1 L’appelant conteste sa condamnation pour recel. Il conteste les faits s’agissant des cas 4, 5 et 9 de l’acte d’accusation. S’agissant des cas 3 et 7, il soutient que l’objet volé valait moins de 300 fr. au sens de l’art. 172ter CP (Code pénal suisse du 21 décembre 1937 ; RS 311.0), si bien que, les plaintes ayant été retirées, il devrait être libéré. Pour ce qui est du cas 3, il fait en outre valoir que l’élément subjectif de l’infraction de recel ne serait pas réalisé. 4.2</w:t>
      </w:r>
    </w:p>
    <w:p>
      <w:r>
        <w:t>- 18 - 4.2.1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[ci-après : CR CPP], 2e éd., Bâle 2019, n. 34 ad art. 10 CPP ; Kistler Vianin, in CR CPP, op. cit., nn. 19 ss ad art. 398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4.2.2 Conformément à l'art. 160 ch. 1 CP, celui qui aura acquis, reçu en don ou en gage, dissimulé ou aidé à négocier une chose dont il savait</w:t>
      </w:r>
    </w:p>
    <w:p>
      <w:r>
        <w:t>- 19 - ou devait présumer qu'un tiers l'avait obtenue au moyen d'une infraction contre le patrimoine sera puni d'une peine privative de liberté de 5 ans au plus ou d'une peine pécuniaire. Le receleur encourra la peine prévue pour l’infraction préalable si cette peine est moins sévère. Si l'infraction préalable est poursuivie sur plainte, le recel ne sera poursuivi que si cette plainte a été déposée.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6B_728/2010 du 1er mars 2011 consid. 2.2). En revanche, le recel ne suppose aucun dessein spécifique tel que le dessein d'enrichissement illégitime (Dupuis et al. [éd.], Petit Commentaire, Code pénal, 2e éd., Bâle 2017, n. 30 ad art. 160 CP). 4.2.3 Aux termes de l'art. 172ter al. 1 CP, si l'acte ne visait qu'un élément patrimonial de faible valeur ou un dommage de moindre importance, l'auteur sera, sur plainte, puni d'une amende. Un élément patrimonial est de faible valeur s'il ne vaut pas plus de 300 francs (ATF 142 IV 129 consid. 3.1). Le critère déterminant est l'intention de l'auteur, non le résultat (Dupuis et al., op. cit., n. 10 ad art. 172ter CP). L'art. 172ter CP n'est applicable que si l'auteur n'avait d'emblée en vue qu'un élément patrimonial de faible valeur. Lorsque l'intention de l'auteur, y compris sous la forme du dol éventuel, portait sur un montant supérieur à la valeur limite admise, l'art. 172ter CP ne trouve pas application, même si le montant du délit est inférieur à 300 francs (ATF 123 IV 197 consid. 2a, JdT 1999 IV 66 ; ATF 123 IV 113 consid. 3f ; TF 6B_217/2012 du 20 juillet 2012 consid. 4.3). 4.3 4.3.1 Dans le cas 3 (cf. point C.2.5 supra), l’appelant était soupçonné du vol, subsidiairement du recel d'un vélo volé, retrouvé en sa possession. Aux débats de première instance et d’appel, il a indiqué avoir</w:t>
      </w:r>
    </w:p>
    <w:p>
      <w:r>
        <w:t>- 20 - acheté l'engin à un marché « clandestin » de toxicomanes à la place [...]. Le juge de première instance a considéré que les circonstances exactes du vol n'étaient pas établies mais que le prévenu ne pouvait ignorer, au moment de l’acquisition du vélo, qu'il s'agissait d'un objet volé (jugement, p. 15). On doit souscrire à ce constat. L’appelant a en effet commencé par déclarer, devant le tribunal de première instance : « je ne crois pas avoir volé le vélo en question » (jugement, p. 3). Il reconnaît par ailleurs qu'il ne s'est nullement interrogé sur la provenance des objets vendus sur le marché clandestin, prétendant croire sur parole les toxicomanes qui les vendaient. Or, les circonstances de l'achat auraient dû l'interpeller. Il y a ainsi à tout le moins dol éventuel de recel. Par ailleurs, la plaignante a signalé avoir acheté son vélo en 2011 ou 2012 pour 250 euros (P. 19). Le Tribunal de police a estimé que le cas de peu de gravité était dépassé, dès lors qu'avec le vélo avait été volé un cadenas (jugement, p. 16). Il n’est toutefois pas établi que le cadenas aurait également été recelé. On ne peut cependant pas raisonner sur la base de la valeur d’acquisition initiale du vélo. En revanche, on doit admettre un dol éventuel de recel de vol simple, car le prévenu, qui affirme avoir payé le vélo 80 fr. (cf. p. 3 ; PV aud. 4, lignes 52-53), ne pouvait pas être certain qu’il valait moins de 300 fr. et a reconnu, à l’audience d’appel, qu’il n’était pas capable de déterminer la valeur d’un tel engin. On doit en effet constater qu’il en existe à des prix forts différents et qu’il n’est pas aisé, si l’on n’est pas un spécialiste, de définir la valeur exacte d’un tel objet. 4.3.2 Dans le cas 4 (cf. point C.2.6 supra), l’appelant était soupçonné du vol, subsidiairement du recel d'une veste d'hiver volée, retrouvée en sa possession. Il a affirmé qu'elle lui avait été donnée par son employeur, deux ans avant que le vol soit signalé. Le juge de première instance n'a pas ajouté foi à cette allégation contredite par le signalement du vol. Sans preuves du vol direct, il a considéré que le prévenu avait dû l'acquérir dans un marché clandestin de toxicomanes, selon son habitude avouée, même s'il le niait dans le cas présent (jugement, p. 16).</w:t>
      </w:r>
    </w:p>
    <w:p>
      <w:r>
        <w:t>- 21 - On ne peut en l’occurrence que souscrire à ce raisonnement. L'explication donnée par le prévenu sur l'origine de son entrée en possession de ce vêtement n'est pas possible. Il s'agit donc d'un mensonge, dont on peut déduire que le prévenu se doutait, à tout le moins, de la provenance délictueuse de cet objet, s'il ne l'a pas volé. 4.3.3 Dans le cas 5 (cf. point C.2.3 supra), l’appelant était soupçonné du vol, subsidiairement du recel d'un téléphone mobile volé, retrouvé au domicile d'un dénommé O.________ en même temps qu'une invitation à retirer un envoi à la poste au nom d’E.________. O.________ a déclaré que ce téléphone avait été laissé chez lui par le prévenu. Ce dernier a reconnu en être le possesseur et a affirmé l'avoir acquis au [...] – où était installé un marché « du même genre (…) qu’à [...] » – le 13 décembre 2020 entre 11h00 et 11h30, voire entre 11h30 et 12h00. Le tribunal de première instance a considéré que cette explication n'était pas crédible puisque l'objet avait été volé entre 11h25 et 12h00 à [...]. Faute de preuves au sujet du vol, il a retenu, à défaut, le recel (jugement, p. 16). Là encore, on ne voit rien à redire sur ce raisonnement, qui doit être suivi et confirmé. 4.3.4 Le cas 7 (cf. point C.2.8 supra) porte sur un iPhone. Le prévenu affirme l'avoir acheté 120 fr., sachant qu'il était volé (PV aud. 5, R. 4/1). Or, il est évident qu’un iPhone en état de marche qui se vend 120 fr. comme objet volé vaut plus de 300 fr., ce d’autant plus si l’on tient compte du contenu qui pouvait se trouver sur ce téléphone et qui a lui également une valeur marchande. Le recel de vol simple est donc réalisé dans ce cas également. 4.3.5 Dans le cas 9 (cf. point C.2.9 supra), l’appelant était soupçonné du vol, subsidiairement du recel d'une clé USB trouvée en sa possession. Il a soutenu aux débats de première instance que cette clé aurait été amenée à son domicile par deux Espagnols prénommés [...] et</w:t>
      </w:r>
    </w:p>
    <w:p>
      <w:r>
        <w:t>- 22 - [...], qu'il hébergeait et qui « stockaient beaucoup de matériel » (jugement, p. 4), version qu’il a confirmée aux débats d’appel (cf. p. 3). Le Tribunal de police n'a pas cru à cette allégation, en relevant qu'avant cela, le prévenu avait affirmé avoir acquis la clé USB en question avec un lot d’objets à [...] et qu’il avait mis en cause deux Roumains, à savoir [...] et son frère, pour les faits du chiffre 1 de l'acte d'accusation. Il a préféré croire la première version, soit celle d’un achat au marché clandestin d’[...] (jugement, p. 19). Encore une fois, l’appréciation du premier juge doit être suivie, l’appelant n’apportant aucun argument propre à la remettre en question. Mal fondés, les griefs de l’appelant doivent être rejetés. 5. L’appelant ne conteste pas la peine prononcée en tant que telle. Celle-ci doit toutefois être revue d’office. 5.1 5.1.1 Le juge fixe la quotité de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5.1.2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w:t>
      </w:r>
    </w:p>
    <w:p>
      <w:r>
        <w:t>- 23 -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 ATF 137 IV 57 consid. 4.3.1, JdT 2011 IV 389). La peine privative de liberté et la peine pécuniaire ne sont pas des sanctions du même genre (ATF 144 IV 313 consid. 1.1 ; ATF 144 IV 217 consid. 2.2).</w:t>
      </w:r>
    </w:p>
    <w:p>
      <w:r>
        <w:t>- 24 -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consid. 2.3.2 ; TF 6B_144/2019 du 17 mai 2019 consid. 4.3.1). 5.1.3 Selon l'art. 42 al. 1 CP, le juge suspend en règle générale l'exécution d'une peine pécuniaire ou d'une peine privative de liberté de deux ans au plus lorsqu'une peine ferme ne paraît pas nécessaire pour détourner l'auteur d'autres crimes ou délits. A teneur de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t>- 25 - 5.2 D'origine afghane, E.________ est un requérant d'asile débouté, mais admis provisoirement en Suisse. Avant son incarcération, il était logé et entretenu modestement par l'EVAM. Toxicomane au bénéfice d'un traitement de substitution, il vit d'expédients. Il a un casier judiciaire désormais chargé, les faits de la présente cause s'inscrivant au fil des condamnations prononcées entre 2019 et 2021. Compte tenu du nombre d'infractions commises contre le patrimoine (cas C.2.1 à C.2.3, C.2.5, C.2.6, C.2.8 et C.2.9) et en matière de LStup (cas C.2.4), ainsi que des antécédents du prévenu, une peine privative de liberté s'impose. Le cas C.2.1 est antérieur à toutes les inscriptions au casier. Les cas C.2.2 à C.2.4 sont antérieurs à la peine prononcée le 13 janvier 2021 et les cas C.2.5, C.2.6, C.2.8 et C.2.9 postérieurs. La peine privative de liberté à prononcer est donc partiellement complémentaire aux antécédents de respectivement 120 jours et 45 jours prononcés les 19 novembre 2019 et 13 janvier 2021, et non entièrement complémentaire s’agissant de la première condamnation, le cas C.2.1 étant antérieur au 19 novembre 2019. On rectifiera dès lors d'office le jugement sur ce point. Pour le surplus, la quotité de la peine arrêtée par le tribunal de première instance – correspondant à quatre mois pour les deux vols, aggravés d’un mois pour les recels, d’un mois pour la violation de domicile et d’un mois pour l’infraction contre la LStup – est adéquate et doit être confirmée. C’est ainsi une peine de 7 mois, partiellement complémentaire à un total de 5,5 mois, qui doit être prononcée. Vu la toxicomanie du prévenu, ainsi que ses antécédents, le pronostic est défavorable, de sorte qu'un sursis est exclu et que la peine prononcée doit être ferme. 6. 6.1 L'appelant conteste son expulsion, qu'il soit ou non libéré de l'accusation de recel. Il fait valoir que cette expulsion serait facultative et</w:t>
      </w:r>
    </w:p>
    <w:p>
      <w:r>
        <w:t>- 26 - qu’il se trouverait dans un cas de rigueur. Sa nationalité afghane empêcherait par ailleurs un renvoi dans son pays d’origine. 6.2 Selon l'art. 66a al. 1 let. d CP, le juge expulse de Suisse l'étranger qui est condamné pour vol en lien avec une violation de domicile, quelle que soit la quotité de la peine prononcée à son encontre, pour une durée de 5 à 15 ans. L’art. 66a al. 2 CP dispose que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1er mai 2020 consid. 3.2.1 ; TF 6B_1329/2018 du 14 février 2019 consid. 2.2).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 fédérale de la Confédération suisse du 18 avril 1999 ; RS 101]) et par le droit international, en particulier l'art. 8 CEDH (Convention de sauvegarde des droits de l’homme et des libertés fondamentales du 4 novembre 1950 ;</w:t>
      </w:r>
    </w:p>
    <w:p>
      <w:r>
        <w:t>- 27 - RS 0.101) (TF 6B_124/2020 du 1er mai 2020 consid. 3.2.1 ; TF 6B_1421/2019 du 12 février 2020 consid. 1.3 ; TF 6B_1024/2019 du 29 janvier 2020 consid. 1.3.2). La clause de rigueur permet de garantir le principe de la proportionnalité (cf. art. 5 al. 2 Cst. ; ATF 146 IV 105 consid. 3.4.2, JdT 2020 IV 247 ; ATF 144 IV 332 consid. 3.3.1). Elle doit être appliquée de manière restrictive (ATF 144 IV 332 consid. 3.3.1). Il convient de s'inspirer des critères énoncés à l'art. 31 OASA (Ordonnance relative à l'admission, au séjour et à l'exercice d'une activité lucrative du 24 octobre 2007 ; RS 142.201). L'al. 1 de cette disposition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w:t>
      </w:r>
    </w:p>
    <w:p>
      <w:r>
        <w:t>- 28 - tolérance (TF 6B_255/2020 du 6 mai 2020 consid. 1.2.2 ; TF 6B_153/2020 du 28 avril 2020 consid. 1.3.2 ; cf. ATF 134 Il 10 consid. 4.3). Il ressort de la jurisprudence du Tribunal fédéral rendue en droit des étrangers que la situation en Afghanistan sur le plan sécuritaire et humanitaire menace concrètement la vie des personnes, ce qui n'exclut pas en soi un retour dans ce pays ; il convient cependant d'examiner les désavantages concrets pour la personne concernée découlant de cette situation (TF 2C_396/2017 du 8 janvier 2018 consid. 7.6). 6.3 Le tribunal de première instance a considéré que le prévenu se trouvait dans un cas d'expulsion non obligatoire. A tort, dès lors que celui- ci a été reconnu coupable d'un vol avec violation de domicile, au sens de l'art. 66a al. 1 let. d CP, dans le cas 2 de l’acte d’accusation (cf. point C.2.2 supra). L’appelant ne peut donc plaider que le cas de rigueur. E.________ est arrivé en Suisse en 2015, à l'âge de 18 ans. Il n'a travaillé que durant six mois en 2018. Il vit de l'aide publique. Il consomme des produits stupéfiants et commet des infractions contre le patrimoine. Hormis le fait qu'il parle français, son intégration en Suisse n'est ainsi pas bonne. Sa demande d'asile a été rejetée, de sorte qu'il n'a pas de perspective ici, faute de titre de séjour. Il n'a aucune famille dans notre pays, ni même en Europe. Il ne peut donc pas se prévaloir du droit au respect de sa vie privée et familiale. Il ne peut pas non plus soutenir que son expulsion le placerait dans une situation personnelle grave, n'ayant pas établi avoir fait l'objet de persécutions dans son pays d'origine, raison pour laquelle le statut de réfugié ne lui a pas été accordé (P. 53). Le pronostic quant à son comportement futur n'est pas bon. L'intérêt à son expulsion l'emporte donc sur son intérêt à demeurer en Suisse. L’expulsion doit ainsi être confirmée. Certes, la situation en Afghanistan n'est pas enviable, de sorte qu'en l'état, le renvoi ne peut être exigé. L’appelant n'a pas encore subi la peine prononcée dans le cadre de la présente affaire, étant</w:t>
      </w:r>
    </w:p>
    <w:p>
      <w:r>
        <w:t>- 29 - actuellement détenu pour d’autres causes. Il appartiendra dès lors à l'autorité d'exécution de déterminer, le moment venu, si l’expulsion peut être ordonnée ou non (cf. art. 66d CP). Malgré le fait que l’expulsion soit en l’occurrence obligatoire et non facultative, et qu’elle devrait ainsi être ordonnée pour une durée minimale de 5 ans, l’interdiction de la reformatio in pejus ne permet pas de corriger le jugement querellé sur ce point. L’expulsion pour une durée de 3 ans prononcée par le juge de première instance sera ainsi confirmée, de même que l’inscription de cette mesure au SIS. 7. En définitive, l’appel doit être rejeté et le jugement entrepris confirmé, sous réserve de la rectification du chiffre II de son dispositif (cf. consid. 5.2 supra). Sur la base de la liste d’opérations produite par Me Julien Gafner (P. 77), dont il n’y a pas lieu de s’écarter, c’est une indemnité de 1'998 fr. 60, correspondant à 8 heures et 48 minutes d’activité au tarif horaire d’avocat de 180 fr., par 1'584 fr., des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par 31 fr. 70, deux vacations à 120 fr., par 240 fr., et la TVA sur le tout, par 142 fr. 90, qui sera allouée au défenseur d’office d’E.________ pour la procédure d’appel. Les frais de la procédure d’appel, par 4'708 fr. 60, constitués de l’émolument d’audience et de jugement, par 2'710 fr. (cf. art. 21 al. 1 et 2 TFIP), ainsi que de l’indemnité allouée au défenseur d’office, par 1'998 fr. 60 (cf. art. 422 al. 1 et 2 let. a CPP), seront mis à la charge de l’appelant, qui succombe (cf. art. 428 al. 1, 1re phrase, CPP).</w:t>
      </w:r>
    </w:p>
    <w:p>
      <w:r>
        <w:t>- 30 - L’appelant ne sera toutefois tenu de rembourser à l’Etat l’indemnité en faveur de son défenseur d’office que lorsque sa situation financière le permettra (cf.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