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PE20.022089 vom 1. Februar 2021</w:t>
      </w:r>
    </w:p>
    <w:p>
      <w:r>
        <w:t>VD Tribunal cantonal, 2021-02-01, FR</w:t>
      </w:r>
    </w:p>
    <w:p>
      <w:r>
        <w:rPr>
          <w:b/>
        </w:rPr>
        <w:t xml:space="preserve">Quelle: </w:t>
      </w:r>
      <w:r>
        <w:t>https://mcp.opencaselaw.ch/entscheid/vd_gerichte_PE20.022089</w:t>
      </w:r>
    </w:p>
    <w:p>
      <w:r>
        <w:t>FR: VD_GERICHTE PE20.022089 du 1 février 2021</w:t>
      </w:r>
    </w:p>
    <w:p>
      <w:r>
        <w:t>IT: VD_GERICHTE PE20.022089 del 1 febbraio 2021</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- 3 -</w:t>
      </w:r>
    </w:p>
    <w:p>
      <w:r>
        <w:rPr>
          <w:b/>
        </w:rPr>
        <w:t>E. 1.2</w:t>
      </w:r>
    </w:p>
    <w:p>
      <w:r>
        <w:t>En l’espèce, la Chambre des recours pénale du Tribunal cantonal (art. 13 al. 1 LVCPP [loi d’introduction du Code de procédure pénale suisse du 19 mai 2009 ; BLV 312.01]) est compétente pour statuer sur la demande de récusation présentée par D.________, dans la mesure où celle-ci est dirigée notamment contre un membre du ministère public.</w:t>
      </w:r>
    </w:p>
    <w:p>
      <w:r>
        <w:rPr>
          <w:b/>
        </w:rPr>
        <w:t>E. 2.1</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 1B_465/2013 du 8 janvier 2014 consid. 2 ; TF 1B_387/2013 du 1er novembre 2013 consid. 2 ; TF 6B_640/2010 du 18 octobre 2010 consid. 1).</w:t>
      </w:r>
    </w:p>
    <w:p>
      <w:r>
        <w:rPr>
          <w:b/>
        </w:rPr>
        <w:t>E. 2.2</w:t>
      </w:r>
    </w:p>
    <w:p>
      <w:r>
        <w:t>En l’espèce, les propos tenus par D.________ dans son écrit du 26 novembre 2020 sont manifestement inconvenants au sens de l'art. 110 al. 4 CPP. D.________ a été invité à corriger son écriture et à déposer un acte conforme selon avis du 23 décembre 2020, dont l'accusé de réception montre qu'il en a pris connaissance le 5 janvier 2021. Cet avis indiquait expressément les conséquences liées à l'absence de dépôt d'un acte conforme dans le délai imparti. N'ayant pas procédé, la demande de récusation doit par conséquent être déclarée irrecevable.</w:t>
      </w:r>
    </w:p>
    <w:p>
      <w:r>
        <w:rPr>
          <w:b/>
        </w:rPr>
        <w:t>E. 3</w:t>
      </w:r>
    </w:p>
    <w:p>
      <w:r>
        <w:t>Les frais de la procédure, constitués en l’espèce du seul émolument de décision (art. 422 al. 1 CPP), par 440 fr. (art. 20 al. 1 TFIP [tarif des frais de procédure et indemnités en matière pénal ; BLV</w:t>
      </w:r>
    </w:p>
    <w:p>
      <w:r>
        <w:t>- 4 - 312.03.1]), seront mis à la charge de D.________, conformément à l'art. 59 al. 4 CPP. Par ces motifs, la Chambre des recours pénale prononce : I. La demande de récusation présentée par D.________ est irrecevable. II. Les frais de la décision, par 440 fr. (quatre cent quarante francs), sont mis à la charge de D.________. III. La décision est exécutoire. Le président : La greffière : Du La présente décision, dont la rédaction a été approuvée à huis clos, est notifiée, par l'envoi d'une copie complète, à : - D.________, - Ministère public central.</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