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PE20.021986 vom 27. September 2021</w:t>
      </w:r>
    </w:p>
    <w:p>
      <w:r>
        <w:t>VD Tribunal cantonal, 2021-09-27, FR</w:t>
      </w:r>
    </w:p>
    <w:p>
      <w:r>
        <w:rPr>
          <w:b/>
        </w:rPr>
        <w:t xml:space="preserve">Quelle: </w:t>
      </w:r>
      <w:r>
        <w:t>https://mcp.opencaselaw.ch/entscheid/vd_gerichte_PE20.021986</w:t>
      </w:r>
    </w:p>
    <w:p>
      <w:r>
        <w:t>FR: VD_GERICHTE PE20.021986 du 27 septembre 2021</w:t>
      </w:r>
    </w:p>
    <w:p>
      <w:r>
        <w:t>IT: VD_GERICHTE PE20.021986 del 27 settembre 2021</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w:t>
      </w:r>
    </w:p>
    <w:p>
      <w:r>
        <w:t>- 6 - liberté prévisible (art. 212 al. 3 CPP).</w:t>
      </w:r>
    </w:p>
    <w:p>
      <w:r>
        <w:rPr>
          <w:b/>
        </w:rPr>
        <w:t>E. 2.2</w:t>
      </w:r>
    </w:p>
    <w:p>
      <w:r>
        <w:t>; Coquoz, in : CR CPP, op. cit., n. 2 ad art. 237 CPP). L'art. 237 al. 3 CPP précise que, pour surveiller l'exécution de ces mesures, le tribunal peut ordonner l'utilisation d'appareils techniques qui peuvent être fixés à la personne sous surveillance. S'agissant du port</w:t>
      </w:r>
    </w:p>
    <w:p>
      <w:r>
        <w:t>- 15 - du bracelet électronique, dans la mesure où la surveillance électronique ne peut être qu'assortie d'injonctions faites au prévenu ayant trait à sa localisation, elle est certes un moyen de contrôle de mesures de substitution, mais, plus largement, elle doit être comprise comme une alternative à la détention provisoire ou pour des motifs de sûreté (ATF 145 IV 503 consid. 3.3.1 et les références citées ; ATF 136 IV 20 consid. 3.5 ; TF 1B_344/2017 du 20 septembre 2017 consid. 5.2 ; TF 1B_447/2011 du 21 septembre 2011 consid. 3.3). L'art. 237 al. 3 CPP n'est pas restrictif dans sa formulation et ne se limite pas à une technologie en particulier. Cette disposition constitue donc une base légale suffisante pour l'utilisation d'un système permettant de suivre un prévenu à la trace (ATF 145 IV 503 précité et la référence citée), voire pour la mise sur pied d'un système propre à assurer une surveillance en temps réel. Le contrôle permanent et en temps réel impliquerait cependant la mise sur pied d'une centrale de surveillance active 24 heures sur 24 et 7 jours sur 7 ainsi que la possibilité d'une intervention immédiate de la police, ce qui ne peut être assuré actuellement (ATF 145 IV 503 précité et les références citées). Ainsi, la surveillance électronique ne permet pas en l’état de prévenir une fuite ou une récidive en temps réel, mais uniquement de les constater a posteriori. 7.2.2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w:t>
      </w:r>
    </w:p>
    <w:p>
      <w:r>
        <w:rPr>
          <w:b/>
        </w:rPr>
        <w:t>E. 3.1</w:t>
      </w:r>
    </w:p>
    <w:p>
      <w:r>
        <w:t>Le recourant conteste l’existence de charges suffisantes à son encontre. Il fait valoir que la quantité de cannabis qui lui est imputée ne serait qu’une extrapolation sans lien avec lui, qu’aucune conversation relevant de son prétendu trafic n’aurait été produite au dossier, que les hôtels qu’il aurait fréquentés ne correspondraient pas à ceux fréquentés par le présumé transporteur international, que ses empreintes auraient uniquement été découvertes sur le film plastique entourant les pains de résine de cannabis retrouvés au domicile de V.________, à défaut des autres stupéfiants – en particulier de la cocaïne – découverts lors de la perquisition, et que C.________ et V.________ ne seraient pas crédibles lorsqu’ils le mettent en cause.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1B_7/2020 du 24 janvier 2020 consid. 3.1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w:t>
      </w:r>
    </w:p>
    <w:p>
      <w:r>
        <w:t>- 7 - 1B_7/2020 précité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w:t>
      </w:r>
    </w:p>
    <w:p>
      <w:r>
        <w:rPr>
          <w:b/>
        </w:rPr>
        <w:t>E. 3.3</w:t>
      </w:r>
    </w:p>
    <w:p>
      <w:r>
        <w:t>En l’espèce, le 13 décembre 2020, C.________, ressortissant espagnol né en 1985, a été interpellé en gare de Lausanne, en possession d’une valise contenant 11,95 kg de cannabis qu’il avait importée depuis l’Espagne. Il a indiqué, lors de son audition du 22 janvier 2021, qu’il avait livré, depuis le mois de janvier 2019, une quinzaine de valises similaires à celle qu’il détenait lors de son interpellation à V.________, ressortissant belge né en 1987. La consultation des images de vidéosurveillance de l’Hôtel [...] à Lausanne a permis de constater que, le 21 novembre 2020, V.________, accompagné de son épouse X.________, avait effectivement réceptionné une valise remise par C.________. La perquisition effectuée le 4 mars 2021 au domicile des époux V.________ a mené à la saisie de 242 grammes bruts de cocaïne, de 512 grammes de haschich et de 2 kg de marijuana. Les enquêteurs ont également retrouvé des valises, plusieurs téléphones cellulaires et des documents au nom de F.________. Après avoir fait valoir son droit au silence lors de son audition par la police, V.________ a admis, lors de son audition d’arrestation, qu’il était impliqué dans un trafic de stupéfiants, tout en précisant qu’il n’était que dépositaire pour le compte d’un tiers, soit de F.________, auquel il avait également rendu divers services dans le cadre de son trafic de produits stupéfiants, notamment en allant chercher et en livrant de la drogue (PV aud. 7).</w:t>
      </w:r>
    </w:p>
    <w:p>
      <w:r>
        <w:t>- 8 - Quand bien même le recourant conteste les faits qui lui sont reprochés et a seulement admis avoir entreposé de la drogue chez V.________ pour le compte d’un tiers, les soupçons portés à son encontre sont manifestement suffisants pour justifier son maintien en détention à ce stade. En effet, il ressort du rapport final de la Police de sûreté du 30 juillet 2021 (P. 88) que F.________ était à la tête du réseau, qu’il organisait l’acheminement de la drogue, sa réception et sa distribution en faisant exécuter ses ordres par ses complices, notamment par C.________, transporteur international et V.________, réceptionnaire. Le rôle de F.________ dans le trafic a du reste été confirmé par ses co-prévenus et, même si son ADN n’a pas été mis en évidence sur la cocaïne retrouvée au domicile de V.________, ses traces biologiques ont été mises en évidence sur l’emballage de pains de résine de cannabis retrouvés chez le réceptionnaire. Il y a de surcroît lieu de relever que F.________ n’a absolument pas collaboré à l’enquête, de sorte que les arguments de fond qu’il tente de plaider peuvent lui être retournés. Quoi qu’il en soit, il existe en l’état des indices suffisants de culpabilité pour justifier le maintien en détention du prévenu. Pour le surplus, il appartiendra au juge du fond de procéder à une pesée complète des éléments à charge et à décharge et d’apprécier la crédibilité des mises en cause dont le recourant fait l’objet. La première condition de l’art. 221 al. 1 CPP apparaît ainsi réalisée.</w:t>
      </w:r>
    </w:p>
    <w:p>
      <w:r>
        <w:rPr>
          <w:b/>
        </w:rPr>
        <w:t>E. 4.1</w:t>
      </w:r>
    </w:p>
    <w:p>
      <w:r>
        <w:t>Le recourant conteste tout risque de collusion. Il fait valoir qu’aucun acte d’instruction supplémentaire ne serait prévu dès lors qu’un rapport d’enquête final aurait été déposé le 30 juillet 2021 et reproche au Tribunal des mesures de contrainte de prévoir des actes d’enquête que le Ministère public n’entendrait pas mener.</w:t>
      </w:r>
    </w:p>
    <w:p>
      <w:r>
        <w:rPr>
          <w:b/>
        </w:rPr>
        <w:t>E. 4.2</w:t>
      </w:r>
    </w:p>
    <w:p>
      <w:r>
        <w:t>Selon l’art. 221 al. 1 let. b CPP, la détention provisoire et la détention pour des motifs de sûreté peuvent être ordonnées lorsque le prévenu est fortement soupçonné d’avoir commis un crime ou un délit et</w:t>
      </w:r>
    </w:p>
    <w:p>
      <w:r>
        <w:t>- 9 -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précité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1B_208/2019 du 29 mai 2019 consid. 4.1).</w:t>
      </w:r>
    </w:p>
    <w:p>
      <w:r>
        <w:t>- 10 - A cet égard, si c’est au début de la procédure que le risque de collusion est le plus grand, il est toutefois possible de le retenir alors même que l’instruction est terminée, notamment lorsqu’il existe des indices concrets que le prévenu, une fois remis en liberté, cherche à entraver l’action pénale en tentant par exemple d’influencer des témoins ou des complices (Piquerez, Traité de procédure pénale suisse, 2e éd., Genève 2006, n. 849, p. 543). Plus l'instruction se trouve à un stade avancé et les faits sont établis avec précision, plus les exigences relatives à la preuve de l'existence d'un risque de collusion sont élevées (ATF 137 IV 122 précité ; ATF 132 I 21 précité ; TF 1B_577/2020 du 2 décembre 2020 consid. 3.1). Le risque de collusion peut ainsi perdurer au stade de la première instance, avant les débats, en particulier dans la perspective d’une audition de personnes sur la base de l’art. 343 CPP (TF 1B_388/2012 du 19 juillet 2012 ; Moreillon/Parein-Reymond, Petit commentaire, Code de procédure pénale, 2e éd., Bâle 2016, n. 32 ad art. 221 CPP).</w:t>
      </w:r>
    </w:p>
    <w:p>
      <w:r>
        <w:rPr>
          <w:b/>
        </w:rPr>
        <w:t>E. 4.3</w:t>
      </w:r>
    </w:p>
    <w:p>
      <w:r>
        <w:t>En l’espèce, quand bien même l’instruction se trouve à un stade relativement avancé, c’est à juste titre que le premier juge a considéré que le risque de collusion présenté par le prévenu demeurait concret. En effet, le Ministère public a indiqué qu’une audition récapitulative des principaux protagonistes de ce trafic, soit F.________, C.________, V.________, X.________ et M.________ était prévue le 4 novembre 2021. Contrairement à ce que soutient le recourant, ce n’est qu’une fois ces auditions effectuées que l’instruction sera close, sous réserve des opérations qui seraient rendues nécessaires par les déclarations des prévenus lors de ces auditions. Il est donc important, d’ici là, d’éviter qu’il mette à profit sa liberté pour tenter d’entrer en contact avec ses co- prévenus, pour influencer une déposition en sa faveur ou coordonner leurs déclarations, ce d’autant plus que F.________ a fait à plusieurs reprises usage de son droit au silence durant la procédure, refusant ainsi de se déterminer sur les faits qui lui sont reprochés ou les contestant majoritairement, malgré le fait qu’il ait été mis en cause par ses comparses.</w:t>
      </w:r>
    </w:p>
    <w:p>
      <w:r>
        <w:t>- 11 - Au vu de ces éléments, c’est à juste titre que le risque de collusion a été retenu.</w:t>
      </w:r>
    </w:p>
    <w:p>
      <w:r>
        <w:rPr>
          <w:b/>
        </w:rPr>
        <w:t>E. 5.1</w:t>
      </w:r>
    </w:p>
    <w:p>
      <w:r>
        <w:t>; ATF 139 IV 270 précité). 7.3 La Chambre de céans considère, à l’instar du premier juge, que les mesures de substitution proposées par le recourant ne sont pas susceptibles de prévenir efficacement les risques constatés et qu’aucune</w:t>
      </w:r>
    </w:p>
    <w:p>
      <w:r>
        <w:t>- 16 - autre mesure n’est à même de les pallier valablement. En effet, au vu de ses réticences à s’expliquer, on ne voit pas quelle mesure serait en particulier susceptible de contenir efficacement le risque que le recourant cherche à influencer, s’il était remis en liberté, les autres personnes impliquées dans le trafic de stupéfiants qui lui est reproché. En outre, compte tenu de la propension du recourant à enfreindre les normes légales, le port d’un bracelet électronique, dès lors qu’il ne permet pas une surveillance en temps réel, permettrait tout au plus de constater a posteriori la violation des mesures imposées, respectivement la survenance d’une altération d’un moyen de preuve ou la commission d’une nouvelle infraction. Pour le surplus, le recourant s’expose concrètement, au regard des faits qui lui sont reprochés, à une peine d’une durée nettement supérieure à la période de détention provisoire qu’il a subie à ce jour, respectivement qu’il aura subie le 19 décembre 2021, de sorte que le principe de la proportionnalité demeure pleinement respecté. 8. Il résulte de ce qui précède que le recours, manifestement mal fondé, doit être rejeté sans échange d’écritures (art. 390 al. 2 CPP) et l’ordonnance entreprise confirmée. Me Daniel Trajilovic a conclu à l’allocation d’une indemnité de 540 fr., correspondant à trois heures d’activité nécessaire d’avocat au tarif horaire de 180 fr., débours et TVA en sus. Compte tenu de la nature de l’affaire et de l’acte de recours déposé, il n’y a pas lieu de s’écarter de la durée ainsi alléguée, de sorte que l’indemnité d’office sera fixée à 540 fr., montant auquel s’ajoutent des débours forfaitaires à concurrence de 2 % des honoraires admis (art. 3bis al. 1 RAJ [règlement du 7 décembre 2010 sur l'assistance judiciaire en matière civile ; BLV 211.02.3], applicable par renvoi de l’art. 26b TFIP [tarif des frais judiciaires et indemnités en matière pénale du 28 septembre 2010 ; BLV 312.03.1]), par 10 fr. 80, et la TVA au taux de 7,7 %, par 42 fr. 40, soit à 594 fr. au total en chiffres arrondis.</w:t>
      </w:r>
    </w:p>
    <w:p>
      <w:r>
        <w:t>- 17 - Vu le sort du recours, les frais de la procédure, constitués en l’espèce de l’émolument d'arrêt, par 1’650 fr. (art. 20 al. 1 TFIP), et des frais imputables à la défense d’office de F.________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13 septembre 2021 est confirmée. III. L’indemnité allouée au défenseur d’office de F.________ est fixée à 594 fr. (cinq cent nonante-quatre francs). IV. Les frais d’arrêt, par 1’650 fr. (mille six cent cinquante francs), ainsi que l’indemnité due au défenseur d’office du recourant, par 594 fr. (cinq cent nonante-quatre francs), sont mis à la charge de F.________. V. Le remboursement à l’Etat de l’indemnité allouée au chiffre III ci-dessus ne sera exigible que pour autant que la situation financière de F.________ le permette. VI. L’arrêt est exécutoire. Le président : La greffière :</w:t>
      </w:r>
    </w:p>
    <w:p>
      <w:r>
        <w:t>- 18 - Du Le présent arrêt, dont la rédaction a été approuvée à huis clos, est notifié, par l'envoi d'une copie complète, à : - Me Daniel Trajilovic, avocat (pour F.________), - Ministère public central, et communiqué à : - M. le Président du Tribunal des mesures de contrainte,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1B_219/2019 du 4 juin 2019 consid. 3.1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w:t>
      </w:r>
    </w:p>
    <w:p>
      <w:r>
        <w:t>- 12 - concerner tous types de biens juridiquement protégés, même si ce sont en premier lieu les délits contre l'intégrité corporelle et sexuelle qui sont visés (ATF 143 IV 9 précité consid. 2.7 ; TF 1B_3/2019 précité). Elle peut donc également se produire en cas d’infractions graves en matière de stupéfiants.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w:t>
      </w:r>
    </w:p>
    <w:p>
      <w:r>
        <w:rPr>
          <w:b/>
        </w:rPr>
        <w:t>E. 5.3</w:t>
      </w:r>
    </w:p>
    <w:p>
      <w:r>
        <w:t>En l’espèce, il y a lieu de relever que le trafic reproché au prévenu dans le cadre de la présente procédure, qui porte notamment sur une quantité de 165 kg de cannabis, aurait été commis en bande et par métier, de sorte qu’il doit être qualifié de grave. La mise en danger de la sécurité publique, en cas de récidive, est donc réelle, ce d’autant plus que 242 grammes bruts de cocaïne ont aussi été retrouvés dans l’appartement</w:t>
      </w:r>
    </w:p>
    <w:p>
      <w:r>
        <w:t>- 13 - qui servait de dépôt au prévenu. A cet égard, dès lors qu’il s’est peu expliqué sur certains contacts dont il dispose vraisemblablement encore, il est à craindre que le recourant tente rapidement de reprendre certaines activités illégales. En outre, à l’instar du premier juge, il y a lieu de retenir qu’au vu de ses antécédents, soit neuf condamnations en six ans, dont une pour infraction à la LStup et certaines à des peines fermes, le recourant paraît peu disposé à respecter les normes légales, ce qui rend le risque de récidive encore plus concret. Les éléments qui précédent commandent donc de porter un pronostic résolument défavorable quant au comportement futur du recourant. Il résulte de ces éléments que le risque de réitération présenté par le prévenu est à ce stade suffisamment important et concret pour justifier son maintien en détention provisoire, l’intérêt public devant l’emporter sur son intérêt à être libéré. 6. Les conditions de l’art. 221 al. 1 CPP étant alternatives (TF 1B_249/2011 du 7 juin 2011 consid. 2.4), l’existence des risques de collusion et de réitération dispense la Chambre de céans d’examiner si la détention provisoire s’impose également en raison d’un autre risque. 7. 7.1 Le recourant soutient, dans sa conclusion subsidiaire, que des mesures de substitution à forme de l’obligation de déposer tous ses documents d’identité en mains du Ministère public et de la fourniture de 5'000 fr. à titre de sûretés, ainsi qu’à forme de son assignation à résidence avec interdiction de périmètre de 500 mètres, de l’interpellation de la FVP quant à la faisabilité de la mise en place d’une surveillance électronique comprenant une géolocalisation à son domicile, de l’obligation de se présenter les lundi, mercredi et vendredi à un service administratif, de l’interdiction de tout contact avec ses coprévenus, les témoins et les personnes appelées à donner des renseignements cités dans la procédure ou avec toute autre personne désignée par le Ministère public, de la modification de tous les mots de passe des comptes qu’il possède sur les réseaux sociaux (Facebook, Instagram, Messenger, WhatsApp, etc.), et du</w:t>
      </w:r>
    </w:p>
    <w:p>
      <w:r>
        <w:t>- 14 - contrôle de ses communications et de l'interdiction de périmètre par la police, seraient à même d’empêcher la concrétisation des risques retenus. 7.2 7.2.1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w:t>
      </w:r>
    </w:p>
    <w:p>
      <w:r>
        <w:rPr>
          <w:b/>
        </w:rPr>
        <w:t>E. 9</w:t>
      </w:r>
    </w:p>
    <w:p>
      <w:r>
        <w:t>précité consid. 2.9 ; TF 1B_182/2020 du 4 mai 2020 consid. 5.1 ; TF 1B_3/2019 précité).</w:t>
      </w:r>
    </w:p>
    <w:p>
      <w:r>
        <w:rPr>
          <w:b/>
        </w:rPr>
        <w:t>E. 12</w:t>
      </w:r>
    </w:p>
    <w:p>
      <w:r>
        <w:t>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