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PE20.021978 vom 27. August 2021</w:t>
      </w:r>
    </w:p>
    <w:p>
      <w:r>
        <w:t>VD Tribunal cantonal, 2021-08-27, FR</w:t>
      </w:r>
    </w:p>
    <w:p>
      <w:r>
        <w:rPr>
          <w:b/>
        </w:rPr>
        <w:t xml:space="preserve">Quelle: </w:t>
      </w:r>
      <w:r>
        <w:t>https://mcp.opencaselaw.ch/entscheid/vd_gerichte_PE20.021978</w:t>
      </w:r>
    </w:p>
    <w:p>
      <w:r>
        <w:t>FR: VD_GERICHTE PE20.021978 du 27 août 2021</w:t>
      </w:r>
    </w:p>
    <w:p>
      <w:r>
        <w:t>IT: VD_GERICHTE PE20.021978 del 27 agosto 2021</w:t>
      </w:r>
    </w:p>
    <w:p>
      <w:pPr>
        <w:pStyle w:val="Heading2"/>
      </w:pPr>
      <w:r>
        <w:t>Erwägungen</w:t>
      </w:r>
    </w:p>
    <w:p>
      <w:r>
        <w:rPr>
          <w:b/>
        </w:rPr>
        <w:t>E. 1.1</w:t>
      </w:r>
    </w:p>
    <w:p>
      <w:r>
        <w:t>Interjeté dans les formes et délais légaux (art. 399 CPP), par une partie ayant la qualité pour recourir (art. 382 al. 1 CPP), contre le jugement d’un tribunal de première instance ayant clos la procédure (art. 398 al. 1 CPP), l'appel est recevable.</w:t>
      </w:r>
    </w:p>
    <w:p>
      <w:r>
        <w:rPr>
          <w:b/>
        </w:rPr>
        <w:t>E. 1.1.2</w:t>
      </w:r>
    </w:p>
    <w:p>
      <w:r>
        <w:t>; ATF 127 IV 101 consid. 2b ; TF 6B_688/2014 du 22 décembre 2017 consid. 27.2.1 ; TF 6B_1175/2017 du 11 avril 2018 consid. 2.1).</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w:t>
      </w:r>
    </w:p>
    <w:p>
      <w:r>
        <w:t>- 9 -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 TF 6B_1263/2018 du 28 janvier 2019 consid. 2.1.1 ; TF 6B_868/2018 du 26 octobre 2018 consid. 1).</w:t>
      </w:r>
    </w:p>
    <w:p>
      <w:r>
        <w:rPr>
          <w:b/>
        </w:rPr>
        <w:t>E. 3.1</w:t>
      </w:r>
    </w:p>
    <w:p>
      <w:r>
        <w:t>Dans un premier moyen, l’appelant fait valoir que la plaignante avait des problèmes d’alcool, qu’elle était jalouse, qu’elle perdait la maîtrise d’elle-même, qu’elle aurait abîmé une porte de leur ancien domicile commun et qu’elle a déjà été condamnée pour avoir endommagé le véhicule de son précédent compagnon, ce qui démontre selon lui qu’elle pouvait se montrer violente et agressive à son égard lorsqu’ils se disputaient. S’agissant des deux épisodes de violence des 27 octobre 2019 et 28 novembre 2020, l’appelant soutient que sa réaction doit être considérée comme essentiellement défensive, en ce sens qu’il n’a manifestement pas disposé du temps nécessaire pour maîtriser l’intimée de façon la plus adéquate et qu’on ne saurait exclure qu’il ait été surpris de l’attitude menaçante et agressive de celle-ci. Il se serait ainsi retrouvé en état de légitime défense ou à tout le moins dans un état de saisissement excusable, de sorte qu’il devrait être acquitté des chefs d’accusation de lésions corporelles simples qualifiées et voies de fait qualifiées.</w:t>
      </w:r>
    </w:p>
    <w:p>
      <w:r>
        <w:rPr>
          <w:b/>
        </w:rPr>
        <w:t>E. 3.2.1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w:t>
      </w:r>
    </w:p>
    <w:p>
      <w:r>
        <w:t>- 10 -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w:t>
      </w:r>
    </w:p>
    <w:p>
      <w:r>
        <w:t>- 11 -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w:t>
      </w:r>
    </w:p>
    <w:p>
      <w:r>
        <w:rPr>
          <w:b/>
        </w:rPr>
        <w:t>E. 3.2.2</w:t>
      </w:r>
    </w:p>
    <w:p>
      <w:r>
        <w:t>Conformément à l’art. 15 CP, quiconque, de manière contraire au droit, est attaqué ou menacé d'une attaque imminente a le droit de repousser l'attaque par des moyens proportionnés aux circonstances. La légitime défense peut s’exercer pour autrui, indépendamment d’un devoir de garant (ATF 129 IV 6 consid. 3.2, JdT 2005 IV 215 ; Dupuis et alii, Petit commentaire du Code pénal, 2e éd., Bâle 2017, n. 18 ad art. 15 CP et les réf.). Elle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6B_1171/2017 du 12 avril 2018 consid. 3.1 ; TF 6B_600/2014 du 23 janvier 2015 consid. 5.1 non publié in ATF 141 IV 61).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6B_588/2020 du 15 février 2021 consid. 2.1 ; TF 6B_346/2016 du 31 janvier 2017 consid. 2.1.2). La seule perspective qu’une querelle pourrait aboutir à des voies de fait ne suffit pas. L’acte de celui qui est attaqué ou menacé de l’être doit par ailleurs tendre à la défense. Un comportement visant à se venger ou à punir ne relève pas de la légitime défense. Il en va de même du comportement qui</w:t>
      </w:r>
    </w:p>
    <w:p>
      <w:r>
        <w:t>- 12 - tend à prévenir une attaque certes possible mais encore incertaine, c’est- à-dire à neutraliser l’adversaire selon le principe que la meilleure défense est l’attaque (ATF 93 IV 81 précité ; TF 6B_508/2021 du 14 janvier 2022 consid. 1.4.1 ; TF 6B_903/2020 du 10 mars 2021 consid. 4.2).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JdT 2010 IV 159 ; ATF 102 IV 65 consid. 2a ; ATF 101 IV 119 ; TF 6B_588/2020 précité). La proportionnalité des moyens de défense s'apprécie d'après la situation de celui qui voulait repousser l'attaque au moment où il a agi. Le moyen de défense employé doit être le moins dommageable possible pour l’assaillant (Stratenwerth, Schweizerisches Strafrecht, Allgemeiner Teil I : Die Straftat, 4e éd., Berne 2011, n. 76, p. 260), tout en devant permettre d’écarter efficacement le danger (ATF 136 IV 49 précité consid. 4.2 ; ATF 107 IV 12 consid. 3b ; Trechsel/Geth, Schweizerisches Strafgesetzbuch, Praxiskommentar, 4e éd., Berne 2021, n. 10 ad art. 15 CP).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précité ; ATF 107 IV 12 précité consid. 3 ; ATF 102 IV 65 précité ; TF 6B_6/2017 du 28 février 2018 consid. 4.1).</w:t>
      </w:r>
    </w:p>
    <w:p>
      <w:r>
        <w:rPr>
          <w:b/>
        </w:rPr>
        <w:t>E. 3.2.3</w:t>
      </w:r>
    </w:p>
    <w:p>
      <w:r>
        <w:t>Si l'auteur, en repoussant une attaque, a excédé les limites de la légitime défense au sens de l'art. 15 CP, le juge atténue la peine (art. 16 al. 1 CP). Si cet excès provient d'un état excusable d'excitation ou de saisissement causé par l'attaque, l'auteur n'agit pas de manière coupable (art. 16 al. 2 CP), ce qui conduit à son acquittement (ATF 101 IV 119 précité ; Dupuis et alii, op. cit., n. 11 ad art. 16 CP). Si l’auteur ne peut pas</w:t>
      </w:r>
    </w:p>
    <w:p>
      <w:r>
        <w:t>- 13 - être mis au bénéfice de l’art. 16 al. 2 CP, cela n’exclut pas une réduction de peine au sens de l’art. 16 al. 1 CP (TF 6B_1015/2014 du 1er juillet 2015 consid. 3). Une défense excessive est excusable en vertu de l'art. 16 al. 2 CP si l'attaque illicite est la seule cause ou la cause prépondérante de l'état d'excitation ou de saisissement dans lequel s'est trouvé l'auteur. En outre, la nature et les circonstances de l'attaque doivent apparaître telles qu'elles puissent rendre excusable l'état d'excitation ou de saisissement (TF 6B_922/2018 du 9 janvier 2020 consid. 2.2 ; TF 6B_873/2018 du 15 février 2019 consid. 1.1.3 ; TF 6B_853/2016 du 18 octobre 2017 consid. 2.2.4).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un état de saisissement au sens de l'art. 16 al. 2 CP (TF 6B_922/2018 précité ; TF 6B_1015/2014 précité consid. 3.2 ; TF 6B_889/2013 du 17 février 2014 consid. 3.1). Une simple agitation ou une simple émotion ne suffit pas (TF 6B_922/2018 précité ; TF 6B_853/2016 précité ; TF 6B_810/2011 du 30 août 2012 consid. 5.3.2). Il faut au contraire que l'état d'excitation ou de saisissement auquel était confronté l'auteur à la suite de l'attaque l'ait empêché de réagir de manière pondérée et responsable (TF 6B_922/2018 précité ; TF 6B_971/2018 du 7 novembre 2019 consid. 2.3.4 ; TF 6B_873/2018 précité). La surprise découlant d'une attaque totalement inattendue peut générer un état de saisissement excusable (ATF 101 IV 119 précité ; TF 6B_922/2018 précité ; TF 6B_65/2011 du 8 septembre 2011 consid. 3.2 ; Dupuis et alii, op. cit., n. 8 ad art. 16 CP). Il appartient au juge d'apprécier de cas en cas si le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w:t>
      </w:r>
    </w:p>
    <w:p>
      <w:r>
        <w:t>- 14 - nécessaire. Il dispose à cet égard d'un certain pouvoir d'appréciation (ATF 102 IV 1 consid. 3b ; TF 6B_922/2018 précité ; TF 6B_1015/2014 précité).</w:t>
      </w:r>
    </w:p>
    <w:p>
      <w:r>
        <w:rPr>
          <w:b/>
        </w:rPr>
        <w:t>E. 3.3</w:t>
      </w:r>
    </w:p>
    <w:p>
      <w:r>
        <w:t>Pour retenir les faits de l’événement du 27 octobre 2019, le premier juge a retenu que l’ecchymose visible sur la photographie du visage de la plaignante établissait le coup que le prévenu lui avait porté et que rien n’étayait la thèse selon laquelle le prévenu se serait « défendu » après que la plaignante l’avait frappé avec un bougeoir. S’agissant de l’événement du 28 novembre 2020, le premier juge a retenu qu’à défaut de lésions et de tout constat et au bénéfice du doute, le prévenu avait donné une gifle au visage de la plaignante. Les parties admettent que leur relation a été particulièrement chaotique et qu’elles se disputaient fréquemment. La plaignante a été renvoyée en jugement pour voies de fait et injure. Il n’est pas certain qu’elle aurait échappé à toute condamnation si l’appelant n’avait pas retiré sa plainte contre elle aux débats (jugement, p. 8). Quoi qu’il en soit, même si le comportement de la plaignante ne devait pas être considéré comme parfaitement irréprochable, l’appelant ne saurait pour autant être mis au bénéfice d’un fait justificatif vis-à-vis de son propre comportement. Les coups portés au visage de la plaignante lors des altercations des 27 octobre 2019 et 28 novembre 2020 ne s’inscrivent pas dans le cadre de gestes défensifs. L’appelant ne soutient pas avoir tenté de fuir le conflit ni même avoir cherché à l’apaiser. Il a déclaré ce qui suit aux débats de première instance : « S’agissant du chiffre 2, pour vous répondre, il s’agissait d’une gifle et elle lui a causé un œil au beurre noir. C’était un revers. Avant cela, elle m’avait tapé dessus avec un bougeoir en ferraille noire. Elle m’avait tapé sur le crâne. Je ne suis pas allé à l’hôpital alors que les gendarmes me l’avaient conseillé. La police n’est pas intervenue à l’occasion de cette gifle. Les faits du 28 novembre 2020 sont plus ou moins exacts. Je lui ai mis une gifle ce jour-là. Je ne lui ai jamais mis de coup de poing » (jugement, p. 7). Il faut donc comprendre que l’appelant a été délibérément violent à l’encontre de la plaignante pour se venger de ce qu’elle venait de lui faire subir. Du reste, lors de son audition par la police, il a déclaré : « Ce coup-là j’ai répondu par une claque » concernant</w:t>
      </w:r>
    </w:p>
    <w:p>
      <w:r>
        <w:t>- 15 - l’événement du 28 novembre 2020 (P. 4/0, p. 7). Un tel comportement ne s’inscrit pas dans un acte de légitime défense car il ne vise pas à se prémunir d’un danger imminent. En agissant de la sorte, l’appelant a contribué à l’escalade du conflit qui l’opposait à sa compagne en la frappant pour la punir. Le sens qu’il convient de donner au comportement de l’appelant est confirmé par son attitude aux débats de première instance dont le procès-verbal expose ce qui suit : « Il est précisé que X.________ déclare à 10 h 20 pendant les derniers propos de la plaignante/prévenue "tu te fais bien sauter au boulot connasse ! ". Le président l’exclut de la salle d’audience et lui demande de revenir une fois qu’il se sera calmé et de présenter ses excuses. Le prévenu sort de la salle en déclarant : "Tu es une sale menteuse, je n’ai pas peur de la justice, je fais ce que je veux ! " » (jugement, p. 3). Ces propos laissent percevoir concrètement de quoi l’appelant a pu se révéler capable à l’encontre de la plaignante dans le huis clos de leur appartement. Ils révèlent également que la jalousie qui l’animait était tout autant dévorante de son côté que ce qu’il en dit de la plaignante. Surtout, ces propos mettent en lumière l’expertise psychiatrique du 18 juin 2015 réalisée dans le cadre de l’affaire jugée en 2017, aux termes de laquelle les experts ont posé le diagnostic de trouble mixte de la personnalité avec traits narcissiques, paranoïaques, impulsifs et dyssociaux, et précisé que, compte tenu de sa fragilité identitaire, de ses aspects impulsifs et de sa faible tolérance à la frustration, les capacités volitives de l’expertisé étaient légèrement altérées lorsqu’ils se sentait injustement traité ou acculé, celui-ci ayant dans ces moments précis une réelle difficulté à contenir ses propos, menaces et débordements agressifs. Ces éléments amènent à considérer que l’appelant ne s’est jamais retrouvé en situation de légitime défense – excessive ou non – vis-à-vis de la plaignante. Il faut bien plutôt comprendre de la situation dans laquelle se trouvaient les parties que l’appelant a activement participé aux altercations du couple, préférant la confrontation directe et l’usage délibéré de la violence à toute autre attitude qui aurait permis d’apaiser le conflit ou de l’en préserver. Du reste, la mère de la plaignante a rapporté que l’appelant avait refusé la</w:t>
      </w:r>
    </w:p>
    <w:p>
      <w:r>
        <w:t>- 16 - thérapie de couple qui lui avait été proposée (P. 4/0, audition [...], p. 8). Enfin, on précisera encore que l’appelant mesure 1 m 80 pour 115 kg et qu’il admet lui-même en appel que sa stature est plus imposante que celle de la plaignante (P. 38/1, p. 6), ce qui n’accrédite pas non plus la thèse d’un état de légitime défense. Le moyen de l’appelant est par conséquent infondé.</w:t>
      </w:r>
    </w:p>
    <w:p>
      <w:r>
        <w:rPr>
          <w:b/>
        </w:rPr>
        <w:t>E. 4.1</w:t>
      </w:r>
    </w:p>
    <w:p>
      <w:r>
        <w:t>A titre subsidiaire, l’appelant conteste la qualification de lésions corporelles simples retenue contre lui s’agissant du coup infligé à la plaignante le 27 octobre 2019. Il soutient que les lésions en cause relèveraient tout au plus de voies de fait, voire de lésions corporelles simples de faible importance (art. 123 ch. 1 al. 2 CP), ces dernières justifiant le cas échéant une réduction de la peine prononcée à son encontre.</w:t>
      </w:r>
    </w:p>
    <w:p>
      <w:r>
        <w:rPr>
          <w:b/>
        </w:rPr>
        <w:t>E. 4.2.1</w:t>
      </w:r>
    </w:p>
    <w:p>
      <w:r>
        <w:t>L'art. 123 CP réprime les lésions du corps humain ou de la santé qui ne peuvent être qualifiées de graves au sens de l'art. 122 CP. Cette disposition protège l'intégrité corporelle et la santé tant physique que psychique. A titre d'exemples, la jurisprudence cite notamment les blessures, les meurtrissures, les écorchures ou les griffures, sauf si ces lésions n'ont pas d'autres conséquences qu'un trouble passager et sans importance du sentiment de bien-être (ATF 134 IV 189 consid. 1.1 et les arrêts cités). Aux termes de l’art. 123 ch. 2 al. 5 CP, la peine sera une peine privative de liberté de trois ans au plus ou une peine pécuniaire et la poursuite aura lieu d'office si l’auteur est le partenaire hétérosexuel ou homosexuel de la victime pour autant qu’ils fassent ménage commun pour une durée indéterminée et que l’atteinte ait été commise durant cette période ou dans l’année qui a suivi la séparation.</w:t>
      </w:r>
    </w:p>
    <w:p>
      <w:r>
        <w:t>- 17 -</w:t>
      </w:r>
    </w:p>
    <w:p>
      <w:r>
        <w:rPr>
          <w:b/>
        </w:rPr>
        <w:t>E. 4.2.2</w:t>
      </w:r>
    </w:p>
    <w:p>
      <w:r>
        <w:t>Selon l'art. 126 CP, celui qui se sera livré sur une personne à des voies de fait qui n'auront causé ni lésion corporelle ni atteinte à la santé sera, sur plainte, puni d'une amende (al. 1). La poursuite aura lieu d’office si l’auteur a agi à réitérées reprises contre son partenaire hétérosexuel ou homosexuel pour autant qu’ils fassent ménage commun pour une durée indéterminée et que les atteintes aient été commises durant cette période ou dans l’année qui a suivi la séparation (al. 2 let. c).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et les réf.).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134 IV 189 consid. 1.2 ; ATF 129 IV 216 consid. 3.1). Pour interpréter cette notion relativement vague (Rémy, Commentaire romand, Code pénal II, Bâle 2017, n. 11 ad art. 126 CP), il faut tenir compte de la fréquence des épisodes et de la longueur de la période dans laquelle ils se situent, mais ce qui est décisif c'est la pluralité des occasions où des coups sont donnés de manière à ce qu'on puisse en déduire une certaine habitude (Dupuis et alii, op. cit., n. 13 ad art. 126 CP).</w:t>
      </w:r>
    </w:p>
    <w:p>
      <w:r>
        <w:rPr>
          <w:b/>
        </w:rPr>
        <w:t>E. 4.3</w:t>
      </w:r>
    </w:p>
    <w:p>
      <w:r>
        <w:t>Lors de son audition par la police, l’appelant a lui-même admis avoir porté un coup particulièrement violent à la plaignante, utilisant les termes « monstre gifle » (P. 4/0, p. 8). Or, les lésions qui peuvent être observées sur la photographie du visage de la plaignante (P. 4/1) ne correspondent pas à celles qu’une gifle est susceptible de provoquer, mais bien plutôt à celles d’un coup de poing. L’appelant ne conteste pas le fait que son coup ait provoqué un « œil au beurre noir » à la plaignante</w:t>
      </w:r>
    </w:p>
    <w:p>
      <w:r>
        <w:t>- 18 - (jugement, p. 7). Il ne s’agit donc pas d’un cas limite. A l’évidence, les lésions en cause dépassent très nettement ce qui peut être considéré comme relevant de simples voies de fait ou du cas privilégié de l’art. 123 ch. 1 al. 2 CP. Comme l’a retenu le premier juge, l’œil au beurre noir doit être qualifié sans aucune ambiguïté de lésions corporelles simples. Le jugement doit être confirmé sur ce point.</w:t>
      </w:r>
    </w:p>
    <w:p>
      <w:r>
        <w:rPr>
          <w:b/>
        </w:rPr>
        <w:t>E. 5.1</w:t>
      </w:r>
    </w:p>
    <w:p>
      <w:r>
        <w:t>L’appelant remet ensuite en cause sa condamnation pour injure (cf. supra, let. C, ch. 2.5). Estimant que les parties n’hésitaient pas à s’injurier réciproquement, il soutient qu’il devait être mis au bénéfice de l’art. 177 al. 3 CP et être exempté de toute peine.</w:t>
      </w:r>
    </w:p>
    <w:p>
      <w:r>
        <w:rPr>
          <w:b/>
        </w:rPr>
        <w:t>E. 5.2</w:t>
      </w:r>
    </w:p>
    <w:p>
      <w:r>
        <w:t>Selon l'art. 177 CP, celui qui, de toute autre manière que par celles visées aux dispositions précédentes, aura, par la parole, l’écriture, l’image, le geste ou par des voies de fait, attaqué autrui dans son honneur sera, sur plainte, puni d’une peine pécuniaire de 90 jours-amende au plus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L’art. 177 al. 3 CP place les injures et les voies de fait sur le même pied et est aussi applicable si le premier acte consiste en des voies de fait au sens de l’art. 126 CP et non en une injure (ATF 82 IV 177). Conformément à l’art. 177 al. 3 CP,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partiellement</w:t>
      </w:r>
    </w:p>
    <w:p>
      <w:r>
        <w:t>- 19 - reconstitués, doivent être renvoyés dos à dos (Corboz, Les infractions en droit suisse, vol. I, 3e éd., Berne 2010, n. 35 ad art. 177 CP).</w:t>
      </w:r>
    </w:p>
    <w:p>
      <w:r>
        <w:rPr>
          <w:b/>
        </w:rPr>
        <w:t>E. 5.3</w:t>
      </w:r>
    </w:p>
    <w:p>
      <w:r>
        <w:t>Les disputes entre les parties étaient régulières au sein de leur foyer et ont dégénéré au point de provoquer des actes de violence physique de la part de l’appelant, dont la gravité ne saurait être sous- estimée ni relativisée. Les violences domestiques constituent au demeurant un fléau dont l’ampleur a justifié un plan d’action cantonal visant à mettre en œuvre les obligations de la « Convention d’Istanbul » ratifiée par la Suisse le 14 décembre 2017 (Convention du Conseil de l’Europe sur la prévention et la lutte contre la violence à l’égard des femmes et la violence domestique ; RS 0.311.35). En l’occurrence, on ne distingue pas pour quelle raison le comportement de l’appelant, qui dénote une absence totale de respect vis-à-vis de la plaignante comme il l’a encore illustré aux débats de première instance, devrait justifier qu’il soit exempté de peine. Le moyen doit être rejeté.</w:t>
      </w:r>
    </w:p>
    <w:p>
      <w:r>
        <w:rPr>
          <w:b/>
        </w:rPr>
        <w:t>E. 6.1</w:t>
      </w:r>
    </w:p>
    <w:p>
      <w:r>
        <w:t>L’appelant conteste l’infraction de menaces retenue contre lui (cf. supra, let. C, ch. 2.4). Il soutient que la plaignante n’a jamais été alarmée ou effrayée par le seul fait de lui avoir dit qu’il allait la « démonter », de sorte que tous les éléments constitutifs objectifs de l’infraction ne seraient pas réalisés.</w:t>
      </w:r>
    </w:p>
    <w:p>
      <w:r>
        <w:rPr>
          <w:b/>
        </w:rPr>
        <w:t>E. 6.2</w:t>
      </w:r>
    </w:p>
    <w:p>
      <w:r>
        <w:t>Aux termes de l’art. 180 al. 1 CP, celui qui, par une menace grave, aura alarmé ou effrayé une personne sera, sur plainte, puni d’une peine privative de liberté de trois ans au plus ou d’une peine pécuniaire. Afin de tenir compte du besoin particulier de protection du conjoint, l’art. 180 al. 2 let. b CP prévoit que la poursuite aura lieu d’office si l’auteur est le partenaire hétérosexuel ou homosexuel de la victime pour autant qu’ils fassent ménage commun pour une durée indéterminée et que la menace ait été commise durant cette période ou dans l’année qui a suivi la séparation.</w:t>
      </w:r>
    </w:p>
    <w:p>
      <w:r>
        <w:t>- 20 -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6B_508/2021 du 14 janvier 2022 consid. 2.1), ni que l’auteur ait réellement la volonté de réaliser sa menace (ATF 122 IV 322 consid. 1a ; ATF 105 IV 120 consid. 2a, JdT 1980 IV 115 ; TF 6B_508/2021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 TF 6B_1314/2018 du 29 janvier 2019 consid. 3.2.1). Les menaces de lésions corporelles graves ou de mort doivent être considérées comme des menaces graves au sens de l’art. 180 CP (TF 6B_787/2018 du 1er octobre 2018 consid. 3.1 ; TF 6B_1428/2016 du 3 octobre 2017 consid. 2.1 et la réf.).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6B_508/2021 précité ; TF 6B_135/2021 du 27 septembre 2021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op. cit., vol. I, 3e éd., Berne 2010, n. 8 ad art. 180 CP).</w:t>
      </w:r>
    </w:p>
    <w:p>
      <w:r>
        <w:t>- 21 - Subjectivement, l’auteur doit avoir l’intention non seulement de proférer des menaces graves, mais aussi d'alarmer ou d'effrayer le destinataire. Le dol éventuel suffit (TF 6B_508/2021 précité ; TF 6B_135/2021 précité ; TF 6B_1314/2018 précité).</w:t>
      </w:r>
    </w:p>
    <w:p>
      <w:r>
        <w:rPr>
          <w:b/>
        </w:rPr>
        <w:t>E. 6.3</w:t>
      </w:r>
    </w:p>
    <w:p>
      <w:r>
        <w:t>Les pièces produites par l’appelant en appel ne sont pas datées quant à l’année où les conversations ont eu lieu, de sorte qu’il n’est pas possible d’en déduire quoi que ce soit. En revanche, la plaignante a exprimé à plusieurs reprises durant l’enquête avoir été effrayée par les menaces de mort de l’appelant (P. 4/0, p. 6 ; P. 7, p. 5 ; PV aud. 1, lignes 50-54 et 66). Il ressort par ailleurs des déclarations de [...], mère de la plaignante, que cette dernière est allée se réfugier chez ses parents à [...], leur rapportant notamment qu’elle craignait l’appelant (P. 4/0, audition de [...], p. 8). Sur la base de ces éléments, c’est à juste titre que le premier juge a considéré que la plaignante avait eu peur de l’appelant et que les éléments objectifs et subjectifs de l’infraction de menaces qualifiées étaient tous réunis.</w:t>
      </w:r>
    </w:p>
    <w:p>
      <w:r>
        <w:rPr>
          <w:b/>
        </w:rPr>
        <w:t>E. 7.1</w:t>
      </w:r>
    </w:p>
    <w:p>
      <w:r>
        <w:t>L’appelant conteste encore la fixation de la peine, arguant qu’une peine pécuniaire aurait dû être prononcée en lieu et place d’une peine privative de liberté. Il fait valoir que le premier juge aurait dû prendre en compte le contexte général de violence émaillant le quotidien de son couple, de même que les circonstances concrètes dans lesquelles les atteintes à l’intégrité physique sont intervenues s’agissant des événements des 27 octobre 2019 et 28 novembre 2020.</w:t>
      </w:r>
    </w:p>
    <w:p>
      <w:r>
        <w:rPr>
          <w:b/>
        </w:rPr>
        <w:t>E. 7.2.1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- 22 -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le comportement après l'acte et au cours de la procédure pénale (ATF 141 IV 61 consid. 6.1.1 et les réf.).</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144 IV 217 consid. 2.2). Que les dispositions pénales applicables prévoient abstraitement des peines de même genre ne suffit pas (ATF 144 IV 217 consid. 2.2). Si les sanctions envisagées concrètement ne sont pas du même genre, elles doivent être prononcées cumulativement (ATF 142 IV 265 consid. 2.3.2). La peine privative de liberté et la peine pécuniaire ne</w:t>
      </w:r>
    </w:p>
    <w:p>
      <w:r>
        <w:t>- 23 - sont pas des sanctions du même genre (ATF 144 IV 313 consid. 1.1.1 ; ATF 144 IV 217 consid. 2.2 ;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w:t>
      </w:r>
    </w:p>
    <w:p>
      <w:r>
        <w:rPr>
          <w:b/>
        </w:rPr>
        <w:t>E. 7.3</w:t>
      </w:r>
    </w:p>
    <w:p>
      <w:r>
        <w:t>Le premier juge n’a négligé aucun des éléments à prendre en considération au moment de statuer sur la culpabilité de l’appelant (jugement, p. 21). Il a relevé que la culpabilité de l’appelant n’était pas anodine, que ses antécédents étaient mauvais et qu’il avait même adopté devant lui un comportement méprisant et injurieux à l’égard de la plaignante. On peut ajouter que la détention provisoire de 155 jours purgée dans le cadre du jugement rendu par la Cour de céans le 29 mai 2017 qui le condamnait à 9 mois de peine privative de liberté avec sursis pendant 5 ans ne l’a pas dissuadé de récidiver. C’est ainsi à juste titre que le premier juge a considéré, pour des motifs de prévention spéciale, que seule une peine privative de liberté entrait en ligne de compte pour les infractions de lésions corporelles simples qualifiées, dommages à la propriété et menaces qualifiées. Par conséquent, il faut retenir 2 mois pour les lésions corporelles simples qualifiées, qui constituent l’infraction abstraitement la plus grave. Par l’effet du concours, cette peine sera augmentée de 1 mois pour les dommages à la propriété et de 1 mois pour les menaces qualifiées, ce qui conduit à retenir une peine privative de liberté de 4 mois. Dans leur rapport du 18 juin 2015, les experts psychiatres ont retenu que les capacités volitives du prévenu étaient légèrement altérées lorsqu’il se sentait injustement traité ou acculé, ayant dans ces moments précis une réelle difficulté à contenir ses propos,</w:t>
      </w:r>
    </w:p>
    <w:p>
      <w:r>
        <w:t>- 24 - menaces et débordements agressifs, de sorte que la responsabilité pénale de l’intéressé était légèrement diminuée seulement pour le chef de prévention de violence ou menace contre les autorités et les fonctionnaires. Cette diminution de responsabilité pénale justifie de réduire la peine privative de liberté à 3 mois, dont il convient de déduire un jour de détention avant jugement. Il n’y a pas d’autre élément à décharge à prendre en considération. La peine pécuniaire de 15 jours- amende à 30 fr. le jour sanctionnant l’infraction d’injure doit être confirmée, de même que l’amende de 500 fr. sanctionnant la contravention de voies de fait qualifiées et la contravention à la LStup, convertible en 5 jours de peine privative de liberté de substitution en cas de non-paiement fautif. L’appelant ne réclame pas l’octroi d’un sursis. A raison au vu du risque de récidive qu’il présente. Le pronostic est entièrement défavorable. L’appelant a d’ores et déjà démontré que le sursis était un mode d’exécution de peine dépourvu d’efficacité en ce qui le concerne. Enfin, l’interdiction de la réformatio in pejus ne permet pas d’examiner une éventuelle révocation du sursis accordé à l’appelant le 29 mai 2017 par la Cour de céans, de sorte que le jugement doit également être confirmé sur ce point.</w:t>
      </w:r>
    </w:p>
    <w:p>
      <w:r>
        <w:rPr>
          <w:b/>
        </w:rPr>
        <w:t>E. 8</w:t>
      </w:r>
    </w:p>
    <w:p>
      <w:r>
        <w:t>En définitive, il résulte de ce qui précède que l’appel, manifestement mal fondé (art. 390 al. 2 CPP), doit être rejeté et le jugement entrepris confirmé. Les frais de la procédure d'appel, par 2'530 fr. (art. 21 al. 1 TFIP [tarif des frais de procédure et indemnités en matière pénale du 28 septembre 2010 ; BLV 312.03.1]), seront mis à la charge de l’appelant, qui succombe (art. 428 al. 1 CPP). Y.________ a souhaité qu’un délai lui soit accordé pour déposer une réponse alors que le mémoire d’appel ne lui avait pas été formellement notifié. Or, vu que l’appel était manifestement mal fondé selon l’art. 390 al. 2 CPP, la direction de la procédure aurait statué sans</w:t>
      </w:r>
    </w:p>
    <w:p>
      <w:r>
        <w:t>- 25 - échange d’écritures, respectivement sans solliciter des déterminations de la part de la plaignante. La requête d’assistance judiciaire gratuite d’Y.________ pour la procédure d’appel doit par conséquent être rejetée. En revanche, vu l’issue de l’appel, X.________ devra verser à Y.________ une indemnité pour les dépenses obligatoires occasionnées par la procédure (art. 433 al. 1 let. a CPP). Me Malory Fagone a produit une liste des opérations indiquant 9 h 45 d’activité, soit 30 min. pour la lecture de la déclaration d’appel, 5 h 15 pour la rédaction des déterminations, 2 h pour un entretien avec la cliente, 1 h 25 pour les courriels à la cliente, 30 min. pour les courriers au tribunal ou à la cliente et 5 min. pour un téléphone au tribunal. Ces opérations sont excessives. Il sera retenu 15 min. pour la lecture de la déclaration d’appel, 3 h 30 pour la rédaction des déterminations, 30 min. pour un entretien avec la cliente et 45 min. pour les opérations administratives, soit au total 5 h d’activité nécessaire. Au tarif horaire de 350 fr. (art. 26a al. 3 TFIP), le défraiement s’élève à 1'750 fr., auquel il faut ajouter 2 % pour les débours (art. 3bis al. 1 RAJ [règlement sur l'assistance judiciaire en matière civile du 7 décembre 2010 ; BLV 211.02.3] par renvoi de l'art. 26a al. 6 TFIP), soit 35 fr., et 7,7 % de TVA sur le tout, de sorte que l'indemnité s’élève au total à 1'922 fr.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