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PE20.021868 vom 20. Juli 2021</w:t>
      </w:r>
    </w:p>
    <w:p>
      <w:r>
        <w:t>VD Tribunal cantonal, 2021-07-20, FR</w:t>
      </w:r>
    </w:p>
    <w:p>
      <w:r>
        <w:rPr>
          <w:b/>
        </w:rPr>
        <w:t xml:space="preserve">Quelle: </w:t>
      </w:r>
      <w:r>
        <w:t>https://mcp.opencaselaw.ch/entscheid/vd_gerichte_PE20.021868</w:t>
      </w:r>
    </w:p>
    <w:p>
      <w:r>
        <w:t>FR: VD_GERICHTE PE20.021868 du 20 juillet 2021</w:t>
      </w:r>
    </w:p>
    <w:p>
      <w:r>
        <w:t>IT: VD_GERICHTE PE20.021868 del 20 luglio 2021</w:t>
      </w:r>
    </w:p>
    <w:p>
      <w:pPr>
        <w:pStyle w:val="Heading2"/>
      </w:pPr>
      <w:r>
        <w:t>Erwägungen</w:t>
      </w:r>
    </w:p>
    <w:p>
      <w:r>
        <w:rPr>
          <w:b/>
        </w:rPr>
        <w:t>E. 5.1</w:t>
      </w:r>
    </w:p>
    <w:p>
      <w:r>
        <w:t>L’appelant fait valoir une violation de l’art. 350 bis CP en ce sens qu’il conteste s’être rendu coupable de blanchiment d’argent.</w:t>
      </w:r>
    </w:p>
    <w:p>
      <w:r>
        <w:rPr>
          <w:b/>
        </w:rPr>
        <w:t>E. 5.2</w:t>
      </w:r>
    </w:p>
    <w:p>
      <w:r>
        <w:t>Se rend coupable de blanchiment d'argent celui qui aura commis un acte propre à entraver l'identification de l'origine, la découverte ou la confiscation de valeurs patrimoniales dont il savait ou</w:t>
      </w:r>
    </w:p>
    <w:p>
      <w:r>
        <w:t>- 16 - devait présumer qu'elles provenaient d'un crime ou d'un délit fiscal qualifié (art. 305bis ch. 1 CP).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op. cit,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w:t>
      </w:r>
    </w:p>
    <w:p>
      <w:r>
        <w:t>- 17 - d'entraîner une sanction pénale importante. Il suffit que la transaction sorte de l'ordinaire pour que les soupçons de l'auteur doivent être éveillés (Dupuis et alii, op. cit., n. 35 ad art. 305bis CP).</w:t>
      </w:r>
    </w:p>
    <w:p>
      <w:r>
        <w:rPr>
          <w:b/>
        </w:rPr>
        <w:t>E. 5.3</w:t>
      </w:r>
    </w:p>
    <w:p>
      <w:r>
        <w:t>Il est reproché à Y.________ d’avoir transféré à l’étranger (principalement au Nigéria et en Italie) la somme totale de 39'177 fr. provenant de son trafic de stupéfiants, en utilisant les services d’agences de transfert d’argent (jugement attaqué p. 15). Les premiers juges ont retenu ces faits qu’ils ont qualifié de blanchiment d’argent (jugement attaqué p. 17 et p. 18). L’appelant conteste ce chef de condamnation de manière peu claire. Il paraît se référer à ses déclarations à l’audience de jugement selon lesquelles la provenance de cet argent serait, à tout le moins partiellement licite, à concurrence de 20'000 euros qu’il aurait amenés d’Italie (jugement attaqué p. 5). Cette explication n’est pas vraisemblable pour les motifs exposés par les premiers juges et auxquels on peut renvoyer (jugement attaqué p. 17). On rappellera ainsi que Y.________ n’est pas crédible en raison de la variabilité de ses versions, étant précisé qu’il a servi une nouvelle version pour tenter d’expliquer la provenance des 20'000 fr. lors de l’audience d’appel, de son aveu d’une provenance criminelle, de ses explications fantaisistes sur l’identité des destinataires de cet argent, de son évocation des confiscations d’argent auxquelles ses interpellations par la police l’exposaient ce qui justifiait les transferts à l’étranger (jugement attaqué p. 6), de l’absence de raisons compréhensibles à la prétendue opération consistant à importer 20'000 Euros en liquide depuis l’Italie en Suisse pour envoyer ensuite cet argent hors de Suisse en 65 transferts internationaux (P. 34 p. 8). Enfin, l’appelant n’a pas du tout d’explication s’agissant de la moitié environ de l’argent transféré. Au vu de ce qui précède, il convient de confirmer le jugement entrepris et de rejeter l’appel sur ce point.</w:t>
      </w:r>
    </w:p>
    <w:p>
      <w:r>
        <w:rPr>
          <w:b/>
        </w:rPr>
        <w:t>E. 6</w:t>
      </w:r>
    </w:p>
    <w:p>
      <w:r>
        <w:t>- 18 -</w:t>
      </w:r>
    </w:p>
    <w:p>
      <w:r>
        <w:rPr>
          <w:b/>
        </w:rPr>
        <w:t>E. 6.1</w:t>
      </w:r>
    </w:p>
    <w:p>
      <w:r>
        <w:t>L’appelant fait valoir que la quotité de la peine d’ensemble, soit 36 mois de peine privative de liberté serait excessive, notamment au regard des critères d’atténuation présents permettant de fixer la peine. Il fait ainsi grief au jugement entrepris de ne pas prendre suffisamment en considération, son jeune âge, son parcours de vie difficile et son comportement en prison, qui aurait été principalement bon.</w:t>
      </w:r>
    </w:p>
    <w:p>
      <w:r>
        <w:rPr>
          <w:b/>
        </w:rPr>
        <w:t>E. 6.1.1</w:t>
      </w:r>
    </w:p>
    <w:p>
      <w:r>
        <w:t>et les réf. citées ; TF 6B_1463/2019 du 20 février 2020 consid. 2.1.1). Selon l'art. 49 CP, si, en raison d'un ou de plusieurs actes, l'auteur remplit les conditions de plusieurs peines de même genre, le juge le condamne à la peine de l'infraction la plus grave et l'augmente dans</w:t>
      </w:r>
    </w:p>
    <w:p>
      <w:r>
        <w:t>- 19 - une juste proportion. Il ne peut toutefois excéder de plus de la moitié le maximum de la peine prévue pour cette infraction. Il est en outre lié par le maximum légal de chaque genre de peine (al. 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w:t>
      </w:r>
    </w:p>
    <w:p>
      <w:r>
        <w:rPr>
          <w:b/>
        </w:rPr>
        <w:t>E. 6.3</w:t>
      </w:r>
    </w:p>
    <w:p>
      <w:r>
        <w:t>Les premiers juges, suivant les réquisitions du Ministère public, ont infligé une peine privative de liberté de 36 mois à Y.________. Ils ont</w:t>
      </w:r>
    </w:p>
    <w:p>
      <w:r>
        <w:t>- 20 - motivé cette quotité par l’ampleur et la durée du trafic, que seule l’arrestation de l’intéressé avait interrompu, le mobile crapuleux, sa venue en Suisse uniquement à des fins criminelles, l’absence de toute collaboration culminant dans l’effacement de données électroniques, sous les yeux des enquêteurs, l’absence totale de prise de conscience, l’insincérité des excuses présentées à des fins uniquement utilitaires ou tactiques. Le seul élément à décharge étant la jeunesse du prévenu, qui a eu 22 ans en mars 2021. Force est donc de constater que, contrairement à ce que soutient l’appelant, son jeune âge a expressément été mentionné dans le jugement, de même que son parcours de migrant dans divers pays d’Europe. Son comportement en détention a fait l’objet d’un rapport (P. 46), que le jugement évoque également (jugement entrepris p. 14 et 15). Ce rapport précise que le comportement de Y.________ est plutôt bon, mais relève également qu’il a fait l’objet de plusieurs sanctions disciplinaires, dont notamment 15 jours d’arrêts disciplinaires pour refus d’obtempérer et morsure d’un agent à la jambe (P. 39). Les points signalés par l’appelant ont ainsi été correctement pris en considération dans le cadre de la fixation de la peine par les premiers juges. De plus, l’appelant est un récidiviste en matière de séjour illégal et de stupéfiants (cf. ses casiers judiciaires suisse et danois). Le crime à la LStup justifie à lui seul 30 mois de peine privative de liberté, ce qui constitue la peine de base. Cette peine doit être augmentée par l’effet du concours de 6 mois pour le délit de blanchiment d’argent, de 4 mois pour l’infraction à la LEI et d’1 mois pour l’infraction à la LStup ; la révocation du sursis porte sur 50 jours. Ainsi, la peine privative de liberté infligée à Y.________ aurait dû être de l’ordre de 42 mois. Toutefois, en raison de la prohibition de la reformatio in pejus, la peine privative de liberté de 36 mois prononcée par les premiers juges peut être confirmée.</w:t>
      </w:r>
    </w:p>
    <w:p>
      <w:r>
        <w:rPr>
          <w:b/>
        </w:rPr>
        <w:t>E. 6.4</w:t>
      </w:r>
    </w:p>
    <w:p>
      <w:r>
        <w:t>Cette peine sera ferme, dans la mesure où seul un pronostic défavorable peut être posé. En effet, Y.________ est sans lien avec la Suisse</w:t>
      </w:r>
    </w:p>
    <w:p>
      <w:r>
        <w:t>- 21 - où il n’a ni le droit de séjourner ni celui de travailler. Son casier judiciaire suisse n’est pas vierge et, en dépit d’une condamnation, pour séjour illégal en janvier 2020, il est demeuré en Suisse. Rien ne laisse à penser qu’il s’amenderait en cas de sursis partiel ; à cet égard on rappellera que l’appelant persiste à nier l’évidence. Il est même allé jusqu’à donner une nouvelle version des faits à l’audience d’appel pour tenter de justifier la provenance d’une partie de l’argent criminel transféré.</w:t>
      </w:r>
    </w:p>
    <w:p>
      <w:r>
        <w:rPr>
          <w:b/>
        </w:rPr>
        <w:t>E. 7.1</w:t>
      </w:r>
    </w:p>
    <w:p>
      <w:r>
        <w:t>L’appelant fait valoir que la durée de l’expulsion obligatoire, arrêtée à 12 ans par les premiers juges, serait disproportionnée.</w:t>
      </w:r>
    </w:p>
    <w:p>
      <w:r>
        <w:rPr>
          <w:b/>
        </w:rPr>
        <w:t>E. 7.2</w:t>
      </w:r>
    </w:p>
    <w:p>
      <w:r>
        <w:t>Selon l'art. 66a al. 1 let. 0 CP, le juge expulse de Suisse l'étranger qui est condamné pour infraction grave à la Loi fédérale sur les stupéfiants,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meurtre.</w:t>
      </w:r>
    </w:p>
    <w:p>
      <w:r>
        <w:rPr>
          <w:b/>
        </w:rPr>
        <w:t>E. 7.3</w:t>
      </w:r>
    </w:p>
    <w:p>
      <w:r>
        <w:t>En l’occurrence, au vu en particulier du défaut d’attache du prévenu avec la Suisse, de la gravité des infractions commises, plus particulièrement celle portant atteinte à la santé publique, de ses</w:t>
      </w:r>
    </w:p>
    <w:p>
      <w:r>
        <w:t>- 22 - antécédents, et de l’importance du risque de récidive, le Tribunal correctionnel n’a pas porté atteinte au principe de proportionnalité en fixant la durée de l’expulsion à 12 ans. L’inscription de l’expulsion dans le Système d’informations Schengen est justifiée pour éviter que l’appelant ne poursuive ses activités de trafiquant en s’installant dans un autre pays européen, comme il l’a déjà fait en Suisse après avoir été renvoyé du Danemark.</w:t>
      </w:r>
    </w:p>
    <w:p>
      <w:r>
        <w:rPr>
          <w:b/>
        </w:rPr>
        <w:t>E. 8</w:t>
      </w:r>
    </w:p>
    <w:p>
      <w:r>
        <w:t>En définitive, l'appel de Y.________ doit être rejeté et le jugement entrepris confirmé. Conformément à l’art. 51 CP, la détention subie depuis le jugement de première instance sera déduite de la peine privative de liberté prononcée. Le maintien en détention de Y.________ à titre de sûreté est ordonné en raison des risques de fuite et de réitération. En effet, celui-ci n’a ni attache avec la Suisse, ni statut légal en Suisse. Son casier judiciaire fait déjà état d’une condamnation pour infraction à la LEI, laquelle n’a eu aucun effet sur le condamné. Par ailleurs, cette détention permettra de garantir tant l’exécution de la peine privative de liberté que de l’expulsion prononcée. Le défenseur d’office de l’appelant, Me Anne D. Vladau, a produit une liste d’opérations (P. 73), faisant état de 12 heures et 24 minutes d’activité d’avocat breveté et de 9 heures et 54 minutes d’activité d’avocat-stagiaire. C’est légèrement excessif. Il convient ainsi de retrancher 1h00 des opérations liées à l’établissement de la déclaration d’appel, 4h30 étant suffisantes, dès lors que Me Anne D. Vladau assistait déjà l’appelant en première instance. On retranchera également 1h00 du poste « audience de jugement », qui avait été estimé à 2h00. Par ailleurs, il convient de ne pas tenir compte de l’heure mentionnée pour la vacation du 23 juillet 2021, qui paraît résulter d’une erreur de plume. Enfin, on retranchera encore 20 minutes pour la réaction de l’annonce d’appel du</w:t>
      </w:r>
    </w:p>
    <w:p>
      <w:r>
        <w:t>- 23 - 26 juillet 2021, 10 minutes étant suffisantes à la rédaction d’une lettre standard. Il convient par conséquent de retenir 10h24 d’activité d’avocat breveté au tarif horaire de 180 fr., par 1’872 fr., 8h34 d’activité d’avocat- stagiaire au tarif horaire de 110 fr., soit 942 fr. 35, des débours forfaitaires à concurrence de 2%, par 56 fr. 30, quatre vacations à 120 fr., deux vacations à 80 fr., et un montant correspondant à la TVA, par 270 fr. 35 (art. 2 al. 1 let. a et let. b et 3bis al. 1 et 3 RAJ [Règlement sur l’assis­tance judiciai­re en matière civile du 7 décembre 2019 ; BLV 211.02.3], applicables par renvoi de l’art. 26b TFIP [Tarif des frais de procédure et indemnités en matière pénale du 28 septembre 2010 ; BLV 312.03.1]). L’indemnité de défenseur d’office de Me Anne D. Vladau doit ainsi être fixée 3'781 fr. et sera mise à la charge du prévenu. Vu l’issue de la cause, les frais de la procédure d'appel, par 6'051 fr., constitués en l’espèce de l’émolument de jugement, par 2’270 fr. (art. 21 al. 1 et 2 TFIP), et de l’indemnité allouée au défenseur d'office de l’appelant (art. 422 al. 1 et 2 let. a CPP), par 3'781 fr., seront mis à la charge de Y.________,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