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PE20.021867 vom 31. Dezember 2020</w:t>
      </w:r>
    </w:p>
    <w:p>
      <w:r>
        <w:t>VD Tribunal cantonal, 2020-12-31, FR</w:t>
      </w:r>
    </w:p>
    <w:p>
      <w:r>
        <w:rPr>
          <w:b/>
        </w:rPr>
        <w:t xml:space="preserve">Quelle: </w:t>
      </w:r>
      <w:r>
        <w:t>https://mcp.opencaselaw.ch/entscheid/vd_gerichte_PE20.021867</w:t>
      </w:r>
    </w:p>
    <w:p>
      <w:r>
        <w:t>FR: VD_GERICHTE PE20.021867 du 31 décembre 2020</w:t>
      </w:r>
    </w:p>
    <w:p>
      <w:r>
        <w:t>IT: VD_GERICHTE PE20.021867 del 31 dicembre 2020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résulte de ce qui précède que le recours, manifestement mal fondé, doit être rejeté sans échange d’écritures (art. 390 al. 2 CPP) et l’ordonnance du 14 décembre 2020 confirmée. Les frais de la procédure de recours, par 880 fr. (art. 20 al. 1 TFIP [tarif des frais de procédure et indemnités en matière pénale du 28 septembre 2010; BLV 312.03.1]), ainsi que les frais imputables à la défense d’office (art. 422 al. 1 et 2 let. a CPP), fixés à 395 fr. 45, montant arrondi à 395 fr., qui comprennent des honoraires par 360 fr., des débours forfaitaires par 7 fr. 20 (cf. art. 26b TFIP qui renvoie à l'art. 3bis RAJ [règlement sur l’assistance judiciaire en matière civile du 7 décembre 2010; BLV 211.02.3]) et la TVA sur le tout, au taux de 7,7%, par 28 fr. 45, seront mis à la charge du recourant, qui succombe (art. 428 al. 1 CPP). Le remboursement à l'Etat de l'indemnité allouée au défenseur d'office du recourant ne sera exigible que pour autant que la situation financière de ce dernier le permette (art. 135 al. 4 CPP). Par ces motifs, la Chambre des recours pénale prononce : I. Le recours est rejeté. II. L’ordonnance du 14 décembre 2020 est confirmée. III. L’indemnité allouée au défenseur d’office de N.________ est fixée à 395 fr. (trois cent nonante-cinq francs). IV. Les frais d’arrêt, par 880 fr. (huit cent huitante francs), ainsi que l’indemnité due au défenseur d’office de N.________, par 395 fr. (trois cent nonante-cinq francs), sont mis à la charge de ce dernier.</w:t>
      </w:r>
    </w:p>
    <w:p>
      <w:r>
        <w:t>- 9 - V. Le remboursement à l'Etat de l'indemnité allouée au chiffre III ci-dessus ne sera exigible que pour autant que la situation financière de N.________ le permette. VI. L’arrêt est exécutoire. La vice-présidente : Le greffier : Du Le présent arrêt, dont la rédaction a été approuvée à huis clos, est notifié, par l'envoi d'une copie complète, à : - Me Patricia Spack Isenrich, avocate (pour N.________), - Ministère public central, et communiqué à : - Mme la Présidente du Tribunal des mesures de contrainte, - M. le Procureur du Ministère public cantonal Strada, par l’envoi de photocopies.</w:t>
      </w:r>
    </w:p>
    <w:p>
      <w:r>
        <w:t>- 10 - Le présent arrêt peut faire l'objet d'un recours en matière pénale devant le Tribunal fédéral au sens des art. 78 ss LTF (loi du 17 juin 2005 sur le Tribunal fédéral; RS 173.110). Ce recours doit être déposé devant le Tribunal fédéral dans les trente jours qui suivent la notification de l'expédition complète (art. 100 al. 1 LTF). En vertu de l’art. 135 al. 3 let. b CPP, le présent arrêt peut, en tant qu'il concerne l’indemnité d’office, faire l’objet d’un recours au sens des art. 393 ss CPP devant le Tribunal pénal fédéral (art. 37 al. 1 et 39 al. 1 LOAP [loi fédérale du 19 mars 2010 sur l’organisation des autorités pénales; RS 173.71]). Ce recours doit être déposé devant le Tribunal pénal fédéral dans un délai de dix jours dès la notification de l’arrêt attaqué (art. 396 al. 1 CPP).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