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PE20.021763 vom 2. Juni 2022</w:t>
      </w:r>
    </w:p>
    <w:p>
      <w:r>
        <w:t>VD Tribunal cantonal, 2022-06-02, FR</w:t>
      </w:r>
    </w:p>
    <w:p>
      <w:r>
        <w:rPr>
          <w:b/>
        </w:rPr>
        <w:t xml:space="preserve">Quelle: </w:t>
      </w:r>
      <w:r>
        <w:t>https://mcp.opencaselaw.ch/entscheid/vd_gerichte_PE20.021763</w:t>
      </w:r>
    </w:p>
    <w:p>
      <w:r>
        <w:t>FR: VD_GERICHTE PE20.021763 du 2 juin 2022</w:t>
      </w:r>
    </w:p>
    <w:p>
      <w:r>
        <w:t>IT: VD_GERICHTE PE20.021763 del 2 giugno 2022</w:t>
      </w:r>
    </w:p>
    <w:p>
      <w:pPr>
        <w:pStyle w:val="Heading2"/>
      </w:pPr>
      <w:r>
        <w:t>Erwägungen</w:t>
      </w:r>
    </w:p>
    <w:p>
      <w:r>
        <w:rPr>
          <w:b/>
        </w:rPr>
        <w:t>E. 1</w:t>
      </w:r>
    </w:p>
    <w:p>
      <w:r>
        <w:t>L.________, originaire d’Ecublens/VD, est né le 5 janvier 1978. Il est divorcé et a un enfant qui vit à l’étranger, à qui il verse la somme de 500 fr. par mois. Il est administrateur dans plusieurs sociétés actives sur les chantiers. Il perçoit un salaire mensuel brut de l’ordre de 16'000 francs. Il vit dans un appartement qu’il loue pour un montant mensuel de 1'500 francs. Il est propriétaire de plusieurs biens immobiliers et a des économies pour un montant d’environ 50'000 francs. Il n’a pas de dettes. Le casier judiciaire suisse de L.________ comporte l’inscription suivante : - 13.04.2011, Ministère public de l’arrondissement de Lausanne, emploi d’étrangers sans autorisation, peine pécuniaire de 120 jours-amende à 70 fr. le jour, sursis à l’exécution de la peine, délai d’épreuve de 2 ans, et amende de 350 francs.</w:t>
      </w:r>
    </w:p>
    <w:p>
      <w:r>
        <w:rPr>
          <w:b/>
        </w:rPr>
        <w:t>E. 1.1</w:t>
      </w:r>
    </w:p>
    <w:p>
      <w:r>
        <w:t>Interjeté dans les formes et délais légaux (art. 399 CPP [Code de procédure pénale suisse du 5 octobre 2007 ; RS 312.0]), par une partie qui a qualité pour recourir (art. 382 al. 1 CPP), contre le jugement d’un tribunal de première instance ayant clos la procédure (art. 398 al. 1 CPP), l’appel est recevable.</w:t>
      </w:r>
    </w:p>
    <w:p>
      <w:r>
        <w:rPr>
          <w:b/>
        </w:rPr>
        <w:t>E. 1.2</w:t>
      </w:r>
    </w:p>
    <w:p>
      <w:r>
        <w:t>Dès lors que la présence du prévenu aux débats d’appel n’est pas indispensable et que l’appel est dirigé contre un jugement rendu par un juge unique, l’appel est traité en procédure écrite conformément à l'art. 406 al. 2 CPP, avec l’accord des parties.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(art. 398 CPP ; TF 6B_1263/2018 du 28 janvier 2019 consid. 2.1.1 ; TF 6B_868/2018 du 26 octobre 2018 consid. 1).</w:t>
      </w:r>
    </w:p>
    <w:p>
      <w:r>
        <w:rPr>
          <w:b/>
        </w:rPr>
        <w:t>E. 3</w:t>
      </w:r>
    </w:p>
    <w:p>
      <w:r>
        <w:t>- 5 -</w:t>
      </w:r>
    </w:p>
    <w:p>
      <w:r>
        <w:rPr>
          <w:b/>
        </w:rPr>
        <w:t>E. 3.1</w:t>
      </w:r>
    </w:p>
    <w:p>
      <w:r>
        <w:t>Invoquant une constatation incomplète des faits, l’appelant reproche au premier juge de ne pas avoir fait mention des attestations d’établissement de la Commune de Crissier, qui lui ont été transmises par V.________. Ces attestions, datées du 10 février 2015, 29 mas 2017, 16 mai 2017 et 13 septembre 2018 et qui indiquent que le prénommé est au bénéfice d’un permis d’établissement C, seraient déterminantes dans le cadre de l’appréciation quant à la réalisation de l’élément subjectif de l’infraction retenue. En effet, la production de ces attestations par l’employé l’aurait conforté dans l’idée que celui-ci était titulaire d’un permis C au moment de son engagement.</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et 14 § 2 Pacte ONU II (Pacte international relatif aux droits civils et politiques du 16 décembre 1966 ; RS 0.103.2), ainsi que son corollaire, le principe « in dubio pro reo », portent sur la répartition du fardeau de la preuve dans le procès pénal, d'une part, et sur la</w:t>
      </w:r>
    </w:p>
    <w:p>
      <w:r>
        <w:t>- 6 -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n. 34 ad art. 10 CPP et les références citées).</w:t>
      </w:r>
    </w:p>
    <w:p>
      <w:r>
        <w:rPr>
          <w:b/>
        </w:rPr>
        <w:t>E. 3.3</w:t>
      </w:r>
    </w:p>
    <w:p>
      <w:r>
        <w:t>En l’espèce, les attestations dont se prévaut l’appelant mentionnent toutes que le permis C de V.________ vient à échéance le 30 novembre 2012. Or, l’appelant a engagé cet employé en 2018. Ce fait, non repris dans le jugement, est en défaveur de l’appelant. En effet, un permis</w:t>
      </w:r>
    </w:p>
    <w:p>
      <w:r>
        <w:t>- 7 - C échu depuis six ans aurait manifestement dû attirer l’attention de l’appelant. Quoi qu’il en soit, ce fait n’est pas déterminant, puis qu’il ne mentionne pas que l’employé était au bénéfice d’un permis C au moment de son engagement. Le moyen invoqué doit donc être rejeté.</w:t>
      </w:r>
    </w:p>
    <w:p>
      <w:r>
        <w:rPr>
          <w:b/>
        </w:rPr>
        <w:t>E. 4.1</w:t>
      </w:r>
    </w:p>
    <w:p>
      <w:r>
        <w:t>L’appelant fait ensuite grief au jugement entrepris d’avoir considéré qu’il avait agi de manière intentionnelle, au degré du dol éventuel, et non par négligence. Il soutient qu’il n’avait pas de raison de remettre en question la validité du titre de séjour, quand bien même le délai de contrôle – et non la date d’échéance – était échue. Il serait en effet constant que le délai de contrôle, mentionné comme tel sur le permis C, est un délai d’ordre, de sorte qu’il pouvait, en toute bonne foi, considérer que le titre de séjour présenté était encore valide. A cela s’ajoute que le permis d’établissement aurait dû être réquisitionné par les autorités migratoires, ce qui serait un élément supplémentaire de la bonne foi de l’appelant, puisqu’en visualisant le titre de séjour présenté par V.________ dans son format physique, il aurait été d’autant plus fondé à partir du principe que l’autorisation d’établissement était toujours valable, puisque le prénommé l’avait toujours en sa possession. Enfin, les attestions d’établissement de la Commune de Crissier auraient encore conforté la conviction de l’appelant quant au fait que le permis de séjour de V.________ était toujours valable. En conséquence, l’appelant aurait tout au plus agi par négligence. Or, l’ordonnance pénale, qui tient lieu d’acte d’accusation, ne faisant pas mention de l’infraction par négligence au sens de l’art. 117 al. 3 LEI (Loi fédérale sur les étrangers et l’intégration du 16 décembre 2005 ; RS 142.20), l’appelant devrait donc être acquitté de l’infraction d’emploi d’étrangers sans autorisation au sens de l’art. 117 al. 1 LEI.</w:t>
      </w:r>
    </w:p>
    <w:p>
      <w:r>
        <w:rPr>
          <w:b/>
        </w:rPr>
        <w:t>E. 4.2</w:t>
      </w:r>
    </w:p>
    <w:p>
      <w:r>
        <w:t>- 8 -</w:t>
      </w:r>
    </w:p>
    <w:p>
      <w:r>
        <w:rPr>
          <w:b/>
        </w:rPr>
        <w:t>E. 4.2.1</w:t>
      </w:r>
    </w:p>
    <w:p>
      <w:r>
        <w:t>L’art. 91 al. 1 LEI, qui traite du devoir de diligence de l'employeur, dispose qu’avant d'engager un étranger, l'employeur doit s'assurer qu'il est autorisé à exercer une activité lucrative en Suisse en examinant son titre de séjour ou en se renseignant auprès des autorités compétentes. Selon la jurisprudence, la simple omission de procéder à l'examen du titre de séjour ou de se renseigner auprès des autorités compétentes constitue déjà une violation du devoir de diligence (ATF 141 II 57 consid. 2.1 p. 59 ; TF 6B_583/2020 consid. 1.2 du 1er octobre 2020). Aux termes de l’art. 117 LEI,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En cas de peine privative de liberté, une peine pécuniaire est également prononcée (al. 1). Si l’auteur agit par négligence, il est puni d’une amende de 20 000 francs au plu (al. 3).</w:t>
      </w:r>
    </w:p>
    <w:p>
      <w:r>
        <w:rPr>
          <w:b/>
        </w:rPr>
        <w:t>E. 4.2.2</w:t>
      </w:r>
    </w:p>
    <w:p>
      <w:r>
        <w:t>Conformément à l'art. 12 al. 2 CP (Code pénal suisse du 21 décembre 1937 ; RS 311.0), agit intentionnellement quiconque commet un crime ou un délit avec conscience et volonté. L'auteur agit déjà intentionnellement lorsqu'il tient pour possible la réalisation de l'infraction et l'accepte au cas où celle-ci se produirait (dol éventuel). Le dol éventuel suppose que l'auteur, qui ne veut pas le résultat dommageable pour lui-même, envisage le résultat de son acte comme possible et l'accepte au cas où il se produirait (ATF 133 IV 9 consid. 4.1 ; ATF 131 IV 1 consid. 2.2 ; ATF 130 IV 58 consid. 8.2). La différence entre le dol éventuel et la négligence consciente réside dans la volonté de l'auteur et non dans la conscience. Dans les deux cas, l'auteur est conscient que le résultat illicite pourrait se produire, mais, alors que celui qui agit par négligence consciente escompte qu'il ne se produira pas, celui qui agit par dol éventuel l'accepte pour le cas où il se produirait (ATF 133 IV 9 consid. 4).</w:t>
      </w:r>
    </w:p>
    <w:p>
      <w:r>
        <w:t>- 9 - De la conscience de l'auteur, le juge peut déduire sa volonté, lorsque la probabilité de la survenance du résultat s'imposait tellement à lui que sa disposition à en accepter les conséquences ne peut raisonnablement être interprétée que comme son acceptation (ATF 133 IV</w:t>
      </w:r>
    </w:p>
    <w:p>
      <w:r>
        <w:rPr>
          <w:b/>
        </w:rPr>
        <w:t>E. 4.3</w:t>
      </w:r>
    </w:p>
    <w:p>
      <w:r>
        <w:t>En l’espèce, l’appelant dit avoir examiné le permis C de V.________ qu’il allait engager. Il a donc constaté que la date de contrôle de son permis C était périmée depuis le 31 novembre 2007 (P. 24/1). Il a aussi lu que les attestations de la commune de résidence de cet employé indiquaient que le permis C le concernant était échu depuis six ans. Avec le premier juge, on peut encore retenir que l’appelant est un homme d’expérience, comme l’indique sa situation personnelle, et qu’il a déjà été condamné en 2011 pour des faits similaires. L’expérience et la condamnation précédente devaient nécessairement l’amener à un surplus de vigilance. Il est impossible de croire l’appelant lorsqu’il affirme que, sur la base des documents présentés (permis C dont la date de contrôle était échue depuis 11 ans et attestations communales mentionnant une échéance du permis C de son employé depuis le 30 novembre 2012), il était « convaincu que son employé était en droit de travailler en Suisse » à la date de son engagement en 2018. Il est vrai, comme le soutient l’appelant, que selon l’art. 34 al. 1 LEI, l’autorisation d’établissement est octroyée pour une durée indéterminée et sans conditions. Cela ne dispense ni le titulaire du permis d’établissement de le renouveler à son échéance de manière à permettre à l’autorité de constater que les conditions d’octroi sont toujours remplies, ni l’employeur de satisfaire à son devoir de diligence tel que défini à l’art. 91 al. 1 LEI, soit d’examiner le titre de séjour de la personne qu’il compte engager, le cas échéant, de se renseigner auprès des autorités compétentes. Pour avoir lui-même été titulaire d’un permis C avant d’être naturalisé, l’appelant a admis à l’enquête savoir qu’un tel permis devait être renouvelé (PV aud. 1). En l’espèce, l’appelant n’a rien vérifié, alors même que les pièces qui lui étaient présentées indiquaient que l’employé</w:t>
      </w:r>
    </w:p>
    <w:p>
      <w:r>
        <w:t>- 11 - qu’il comptait engager était titulaire d’un permis C échu de longue date. A cela s’ajoute l’antécédent judiciaire du prévenu pour des faits identiques, qui démontre que celui-ci ne craint pas d’engager des étrangers dépourvus d’autorisation. Au vu de l’ensemble des éléments qui précèdent, on peut retenir que l’appelant a agi en tout cas par dol éventuel, si bien qu’une infraction par négligence n’entre pas en ligne de compte. La condamnation de l’appelant pour emploi d’étrangers sans autorisation doit donc être confirmée. 5. 5.1 L'appelant, qui conclut à son acquittement, ne conteste pas la quotité de la peine infligée en tant que telle. Elle doit toutefois être vérifiée d'office. 5.2 5.2.1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w:t>
      </w:r>
    </w:p>
    <w:p>
      <w:r>
        <w:t>- 12 - professionnelle, risque de récidive, etc.), la vulnérabilité face à la peine, de même que le comportement après l'acte et au cours de la procédure pénale (ATF 141 IV 61 consid. 6.1.1 et les références citées). 5.2.2 L'art. 34 CP dispose que,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Les autorités fédérales, cantonales et communales fournissent au juge les informations dont il a besoin pour fixer le montant du jour-amende (al. 3). Le jugement indique le nombre et le montant des jours-amende (al. 4). 5.2.3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Il impartit au condamné un délai d'épreuve de deux à cinq ans (art. 44 al. 1 CP). 5.3 En l'espèce, l'appelant s'est rendu coupable d’emploi d’étrangers sans autorisation. Sa culpabilité peut être considérée comme moyenne. Il persiste à ne pas vouloir reconnaître sa responsabilité pénale comme employeur, alors qu’il aurait dû faire preuve d’une vigilance accrue en voyant les pièces produites. A charge, il convient de retenir sa condamnation en 2011 pour des faits similaires. Il n’y a pas d’élément à décharge. La peine pécuniaire de 150 jours-amende prononcée par le premier juge est adéquate pour sanctionner le comportement du prévenu. S'agissant de la valeur du jour-amende, le montant de 120 fr. retenu est conforme à la situation financière de l'appelant. L’appelant remplit les</w:t>
      </w:r>
    </w:p>
    <w:p>
      <w:r>
        <w:t>- 13 - conditions d'octroi du sursis. Un délai d'épreuve de quatre ans apparaît nécessaire pour atteindre le but d'amendement durable recherché. Vu le sursis assortissant la peine principale, une amende à titre de sanction immédiate doit être prononcée. Le montant de 3’000 fr., retenu par les premiers juges, ne prête pas le flanc à la critique. Il en va de même de la peine privative de liberté de substitution en cas de non- paiement fautif de l’amende arrêtée à 30 jours. 6. Compte tenu de la confirmation de sa condamnation, il n’y a pas matière à revoir la mise à la charge du prévenu des frais judiciaires de première instance (art. 426 al. 1 CPP). 7. En définitive, l’appel doit être rejeté et le jugement attaqué confirmé. Vu l'issue de la cause, les frais de la procédure d'appel, constitués en l’espèce de l'émolument de jugement, par 1’320 fr. (art. 21 al. 1 et 2 TFIP [Tarif des frais de procédure et indemnités en matière pénale du 28 septembre 2010; BLV 312.03.1]), seront mis à la charge de L.________, qui succombe (art. 428 al. 1 CPP).</w:t>
      </w:r>
    </w:p>
    <w:p>
      <w:r>
        <w:rPr>
          <w:b/>
        </w:rPr>
        <w:t>E. 9</w:t>
      </w:r>
    </w:p>
    <w:p>
      <w:r>
        <w:t>consid. 4.1 ; ATF 130 IV 58 consid. 8.4). Il peut également y avoir dol éventuel lorsque la survenance du résultat punissable, sans être très probable, était seulement possible. Dans ce cas, on ne peut cependant pas déduire que l'auteur s'est accommodé du résultat à partir du seul fait qu'il était conscient qu'il puisse survenir. D'autres circonstances sont au contraire nécessaires (ATF 133 IV 9 consid. 4.1 ; ATF 131 IV 1 consid. 2.2 ; TF 6B_148/2020 du 2 juillet 2020 consid. 5.1.1). La détermination de ce que l'auteur savait, voulait ou l'éventualité à laquelle il consentait et donc la question de savoir s'il a agi avec conscience et volonté, au sens de l'art. 12 al. 2 CP, relève de l'établissement des faits (ATF 141 IV 336 consid. 2.4.1 ; ATF 137 IV 1 consid. 4.2.3). Est en revanche une question de droit celle de savoir si le juge s'est fondé sur une juste conception de la notion de dol éventuel et s’il l'a correctement appliquée au vu des éléments retenus (ATF 137 IV 1 consid. 4.2.3). Ainsi, la question de savoir si les éléments extérieurs retenus en tant que révélateurs du contenu de la conscience et de la volonté autorisent à admettre que l'auteur a agi par dol éventuel relève du droit (ATF 135 IV 152 consid. 2.3.2 ; ATF 125 IV 242 consid. 3c).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138 V 74 consid. 8.4.1 ; ATF 135 IV 12 consid. 2.3.3 ; ATF 125 IV 242 consid. 3c in fine ; ATF 121 IV 249 consid. 3a/aa ; ATF 119 IV 1 consid. 5a p. 3). Peuvent également constituer des éléments</w:t>
      </w:r>
    </w:p>
    <w:p>
      <w:r>
        <w:t>- 10 - extérieurs révélateurs les mobiles de l'auteur et la manière dont il a agi (ATF 125 IV 242 consid. 3c in fine).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ATF 133 IV 222 consid. 5.3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