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PE20.021689 vom 23. April 2021</w:t>
      </w:r>
    </w:p>
    <w:p>
      <w:r>
        <w:t>VD Tribunal cantonal, 2021-04-23, FR</w:t>
      </w:r>
    </w:p>
    <w:p>
      <w:r>
        <w:rPr>
          <w:b/>
        </w:rPr>
        <w:t xml:space="preserve">Quelle: </w:t>
      </w:r>
      <w:r>
        <w:t>https://mcp.opencaselaw.ch/entscheid/vd_gerichte_PE20.021689</w:t>
      </w:r>
    </w:p>
    <w:p>
      <w:r>
        <w:t>FR: VD_GERICHTE PE20.021689 du 23 avril 2021</w:t>
      </w:r>
    </w:p>
    <w:p>
      <w:r>
        <w:t>IT: VD_GERICHTE PE20.021689 del 23 aprile 2021</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w:t>
      </w:r>
    </w:p>
    <w:p>
      <w:r>
        <w:t>- 3 - de procédure pénale suisse du 19 mai 2009 ; BLV 312.01] ; art. 80 LOJV [loi d’organisation judiciaire du 12 décembre 1979 ; BLV 173.01]). En l’espèce, interjeté en temps utile auprès de l’autorité compétente et dans les formes prescrites, par le plaignant qui a qualité pour recourir (art. 382 al. 1 CPP), le recours est recevable.</w:t>
      </w:r>
    </w:p>
    <w:p>
      <w:r>
        <w:rPr>
          <w:b/>
        </w:rPr>
        <w:t>E. 2.1</w:t>
      </w:r>
    </w:p>
    <w:p>
      <w:r>
        <w:t>Conformément à l'art. 310 al. 1 let. a CPP, le Ministère public rend immédiatement – c'est-à-dire sans qu'une instruction soit ouverte (art. 309 al. 1 et 4 CPP ; ATF 144 IV 81 consid. 2.3.3 ; Grodecki/Cornu, in : Jeanneret/Kuhn/Perrier Depeursinge [éd.], Code de procédure pénale suisse, Commentaire romand,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w:t>
      </w:r>
    </w:p>
    <w:p>
      <w:r>
        <w:t>- 4 -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w:t>
      </w:r>
    </w:p>
    <w:p>
      <w:r>
        <w:t>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JdT 1997 IV 120, SJ 1996 501). Elle constitue un moyen de pression psychologique consistant à annoncer un dommage futur dont la réalisation est présentée comme dépendante de la volonté de l'auteur, sans toutefois qu'il soit nécessaire que cette dépendance soit affective (ATF 117 IV 445 consid. 2b ; ATF 106 IV 125 consid. 2a, JdT 1981 IV 106), ni que l'auteur ait réellement la volonté de réaliser sa menace (ATF 105 IV 120 consid. 2, JdT 1980 IV 115 ; TF 6B_1314/2018 du 29 janvier 2019 consid. 3.2.1). La réalisation d'un dommage doit cependant être présentée par l'auteur comme un événement dépendant, directement ou indirectement, de sa volonté (Dupuis et al. [éd.], Petit Commentaire du Code pénal, 2e éd., Bâle 2017, n. 7 ad art. 180 CP).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 TF 6B_1314/2018, déjà cité, consid. 3.2.1). Il faut en outre que la victime ait été effectivement alarmée ou</w:t>
      </w:r>
    </w:p>
    <w:p>
      <w:r>
        <w:t>- 5 - effrayée. Celle-ci doit craindre que le préjudice annoncé se réalise. Cela implique d'une part, qu’elle le considère comme possible et, d'autre part, que ce préjudice soit d'une telle gravité qu'il suscite de la peur (ATF 135 IV 152 consid. 2.3.2 ; ATF 119 IV 1 consid. 5a ; TF 6B_1314/2018 précité consid. 3.2.1 ; TF 6B_787/2018 du 1er octobre 2018 consid. 3.1). Si le juge bénéficie d'un certain pouvoir d'appréciation pour déterminer si une menace est grave, il doit cependant tenir compte de l'ensemble de la situation (ATF 99 IV 212 consid. 1a ; Dupuis et al., op. cit., n. 12 ad art. 180 CP ; Corboz, Les infractions en droit suisse, vol. I, 3e éd., Berne 2010, nn. 7 et 9 ad art. 180 CP ; Donatsch, Strafrecht III, Delikte gegen den Einzelnen, 11e éd., Zurich 2018, p. 424). Subjectivement, l'auteur doit avoir l'intention non seulement de proférer des menaces graves, mais aussi d'alarmer ou d'effrayer le destinataire. Le dol éventuel suffit (TF 6B_1314/2018 précité consid. 3.2.1 ; TF 6B_787/2018 précité consid. 3.1 ; TF 6B_871/2014 du 24 août 2015 consid. 2.2.2).</w:t>
      </w:r>
    </w:p>
    <w:p>
      <w:r>
        <w:rPr>
          <w:b/>
        </w:rPr>
        <w:t>E. 2.3</w:t>
      </w:r>
    </w:p>
    <w:p>
      <w:r>
        <w:t>En l’espèce, le recourant soutient que les propos tenus par le psychiatre avec qui il a eu des entretiens durant son incarcération sont constitutifs d’une menace au sens de l’art. 180 CP. Comme l’a relevé le procureur, il n’apparaît pas que la phrase « il préfère ramasser un article 64 que d’avouer », pour autant que le psychiatre l’ait bien dite, serait constitutive d’une menace au sens de l’art. 180 al. 1 CP. Tout d’abord, il est compréhensible qu’un psychiatre pénitentiaire aborde la question de l’internement au sens de l’art. 64 CP, ou encore l’influence d’aveux sur l’appréciation de la situation. Ensuite, il est notoire que les critères d’application de l’art. 64 CP sont stricts et qu’un psychiatre n’a d’ailleurs pas compétence pour décider d’une telle mesure, celle-ci étant du ressort des autorités judiciaires. Il paraît en outre difficile de soutenir que le recourant aurait été sérieusement alarmé par de tels propos. Enfin, il est clair que le psychiatre n’avait aucune intention de proférer des menaces graves, ou encore d'alarmer ou d'effrayer le recourant.</w:t>
      </w:r>
    </w:p>
    <w:p>
      <w:r>
        <w:t>- 6 - Dans ces circonstances, c’est à bon droit que le Ministère public a retenu que les éléments constitutifs de la menace au sens de l’art. 180 al. 1 CP n’étaient manifestement pas réunis et qu’il n’est dès lors pas entré en matière sur la plainte déposée par C.________.</w:t>
      </w:r>
    </w:p>
    <w:p>
      <w:r>
        <w:rPr>
          <w:b/>
        </w:rPr>
        <w:t>E. 3</w:t>
      </w:r>
    </w:p>
    <w:p>
      <w:r>
        <w:t>Au vu de ce qui précède, le recours doit être rejeté sans échange d’écritures (art. 390 al. 2 CPP) et l’ordonnance entreprise confirmée. Les frais de la procédure de recours, constitués du seul 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8 janvier 2021 est confirmée. III. Les frais d’arrêt, par 660 fr. (six cent soixante francs), sont mis à la charge de C.________. IV. L’arrêt est exécutoire. Le président : La greffière :</w:t>
      </w:r>
    </w:p>
    <w:p>
      <w:r>
        <w:t>- 7 - Du Le présent arrêt, dont la rédaction a été approuvée à huis clos, est notifié, par l'envoi d'une copie complète, à : - M. C.________,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