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PE20.021662 vom 28. Juli 2021</w:t>
      </w:r>
    </w:p>
    <w:p>
      <w:r>
        <w:t>VD Tribunal cantonal, 2021-07-28, FR</w:t>
      </w:r>
    </w:p>
    <w:p>
      <w:r>
        <w:rPr>
          <w:b/>
        </w:rPr>
        <w:t xml:space="preserve">Quelle: </w:t>
      </w:r>
      <w:r>
        <w:t>https://mcp.opencaselaw.ch/entscheid/vd_gerichte_PE20.021662</w:t>
      </w:r>
    </w:p>
    <w:p>
      <w:r>
        <w:t>FR: VD_GERICHTE PE20.021662 du 28 juillet 2021</w:t>
      </w:r>
    </w:p>
    <w:p>
      <w:r>
        <w:t>IT: VD_GERICHTE PE20.021662 del 28 luglio 2021</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de J.________ est recevable.</w:t>
      </w:r>
    </w:p>
    <w:p>
      <w:r>
        <w:rPr>
          <w:b/>
        </w:rPr>
        <w:t>E. 2</w:t>
      </w:r>
    </w:p>
    <w:p>
      <w:r>
        <w:t>Aux termes de l'art. 221 al. 1 CPP, la détention provisoire et la détention pour des motifs de sûreté ne peuvent être ordonnées que</w:t>
      </w:r>
    </w:p>
    <w:p>
      <w:r>
        <w:t>- 7 -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2e éd., Bâle 2019, nn. 4 ss ad art. 221 CPP). L’art. 212 al. 3 CPP prévoit que la détention provisoire ne doit pas durer plus longtemps que la peine privative de liberté prévisible. Le juge de la détention peut donc maintenir celle-ci aussi longtemps qu’elle n’est pas très proche de la durée de la peine privative de liberté à laquelle il faut s’attendre, en fonction des circonstances concrètes du cas d’espèce, en cas de condamnation. L’octroi possible d’un sursis, total ou partiel, n’est pas déterminant (ATF 145 IV 179 consid. 3.1, JdT 2020 IV 3; ATF 143 IV 168 consid. 5.1; ATF 139 IV 270 consid. 3.1; ATF 133 I 270 consid. 3.4.2; ATF 133 I 168 consid. 4.1 et la jurisprudence citée). Le principe de proportionnalité commande en outre d’examiner si des solutions moins dommageables que la détention existent. Cette exigence est concrétisée à l'art. 237 al. 1 CPP, qui prévoit que le tribunal compétent ordonne une ou plusieurs mesures moins sévères en lieu et place de la détention provisoire ou de la détention pour des motifs de sûreté si ces mesures permettent d'atteindre le même but que la détention.</w:t>
      </w:r>
    </w:p>
    <w:p>
      <w:r>
        <w:t>- 8 -</w:t>
      </w:r>
    </w:p>
    <w:p>
      <w:r>
        <w:rPr>
          <w:b/>
        </w:rPr>
        <w:t>E. 2.6</w:t>
      </w:r>
    </w:p>
    <w:p>
      <w:r>
        <w:t>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ATF 143 IV 9 consid. 2.8). En général, la mise en danger de la sécurité d'autrui est d'autant plus grande que les actes redoutés sont graves. En revanche, le</w:t>
      </w:r>
    </w:p>
    <w:p>
      <w:r>
        <w:t>- 10 -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consid. 3.1 ; ATF 146 IV 136 consid. 2.2 ; ATF 143 IV 9 consid. 2.9). Lorsque les infractions examinées sont graves et que d'autres circonstances inquiétantes viennent s'y ajouter, la jurisprudence peut autoriser le maintien en détention jusqu'à la réception d'un premier avis d'expert psychiatre sur le risque de récidive (TF 1B_351/2015 du 30 octobre 2015 consid. 3.1, citant notamment l’arrêt TF 1B_232/2014 du 14 juillet 2014 consid. 3.2 et 3.3, concernant des infractions à la loi sur la circulation routière). Le Tribunal fédéral a en outre confirmé qu’il était conforme au droit fédéral de retenir l'existence d'un risque concret et important de récidive d'infractions graves aux règles de la circulation routière voire contre l'intégrité physique, dans le cas d‘un prévenu ayant commis deux excès de vitesse et plusieurs pertes de maîtrises en sus d’infractions moins graves dénotant toutefois un certain potentiel de dangerosité, qui avait été condamné à une reprise pour conduite sans permis et infraction à la loi sur la circulation routière et qui avait été averti d’une possible détention en cas de récidive (TF 1B_3/2019 du 17 janvier 2019 consid. 3.2).</w:t>
      </w:r>
    </w:p>
    <w:p>
      <w:r>
        <w:rPr>
          <w:b/>
        </w:rPr>
        <w:t>E. 3</w:t>
      </w:r>
    </w:p>
    <w:p>
      <w:r>
        <w:t>La recourante reconnaît d’emblée avoir commis les infractions qui lui sont reprochées « et surtout leur réitération », à l’exception d’une inscription « ACAB » au stylo noir. Il existe donc de forts soupçons de commission par la recourante de tous les faits et infractions objets de l’instruction pénale. Elle expose qu’elle ne s’est pas opposée à sa détention provisoire, qu’elle estime avoir été justifiée dans un premier temps mais, selon elle, la situation aurait désormais radicalement changé. Elle soutient avoir pris conscience de la gravité de ses actes et s’être amendée, ce qui ressortirait de ses déclarations devant l’autorité intimée et des courriers d’excuses qu’elle a adressés au Ministère public et aux policiers qu’elle a menacés. Elle explique qu’elle a certes adopté un mauvais comportement en détention, mais durant la première semaine de son incarcération uniquement. Pour le surplus, elle soutient avoir agi par bravade et sans avoir conscience des conséquences des infractions qu’elle reconnaît avoir commises, en particulier contre la loi sur la circulation routière, et se prévaut du fait que sa moto a été vendue, qu’elle bénéfice d’un solide encadrement familial et qu’elle doit commencer l’[...] en septembre. A cet égard, elle conteste pouvoir effectuer le rapport complémentaire qu’elle doit déposer au 15 août 2021 pour valider son inscription depuis son lieu de détention, de sorte que son maintien en détention mettrait sérieusement en péril son avenir.</w:t>
      </w:r>
    </w:p>
    <w:p>
      <w:r>
        <w:rPr>
          <w:b/>
        </w:rPr>
        <w:t>E. 3.1</w:t>
      </w:r>
    </w:p>
    <w:p>
      <w:r>
        <w:t>En vertu de l'art. 221 al. 1 let. c CPP, la détention provisoire peut être ordonnée lorsqu'il y a sérieusement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w:t>
      </w:r>
    </w:p>
    <w:p>
      <w:r>
        <w:t>- 9 -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146 IV 326 consid. 3.1 ; ATF 137 IV 13 consid. 3 et 4). Le risque de récidive peut également se fonder sur les infractions faisant l'objet de la procédure pénale en cours, si le prévenu est fortement soupçonné - avec une probabilité confinant à la certitude - de les avoir commises (ATF 146 IV 326 consid. 3.1 ; ATF 143 IV 9 consid. 2.3.1).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Dans ce contexte, il faut se montrer plus sévère à l'égard des infractions commises contre des personnes nécessitant une protection particulière, en particulier les enfants (ATF 146 IV 326 consid. 3.1 ; ATF 143 IV 9 consid.</w:t>
      </w:r>
    </w:p>
    <w:p>
      <w:r>
        <w:rPr>
          <w:b/>
        </w:rPr>
        <w:t>E. 3.2</w:t>
      </w:r>
    </w:p>
    <w:p>
      <w:r>
        <w:t>En l’espèce, J.________ est prévenue de multiples infractions – dommages à la propriété, violence ou menace contre les autorités et les fonctionnaires, empêchement d’accomplir un acte officiel, infraction à la loi fédérale sur les armes, violation simple, grave et grave qualifiée des règles de la circulation routière, conduite malgré un retrait du permis de conduire, conduite d’un véhicule sans assurance-responsabilité civile et</w:t>
      </w:r>
    </w:p>
    <w:p>
      <w:r>
        <w:t>- 11 - usage abusif de plaques – qu’elle a pour la plupart reconnues, voire revendiquées. Elle a notamment commis un délit de chauffard le 22 avril 2021 en roulant à plus de 250 km/h sur l’autoroute alors qu’elle faisait déjà l’objet d’une mise en accusation pour des faits similaires et avait été avertie par la procureure en décembre 2020 qu’elle risquait une mise en détention si elle commettait de nouvelles infractions. Elle ne saurait dès lors soutenir qu’elle ignorait les conséquences possibles de son comportement mettant gravement en péril la sécurité des usagers de la route. D’ailleurs, à cet égard, il y a lieu de relever qu’outre le fait que nul n’est censé ignorer la loi, les normes via sicura ont été des plus médiatisées de sorte que la recourante ne saurait se prévaloir de son ignorance. Or, après s’être vantée d’avoir commis un premier délit de chauffard dans un courrier adressé au procureur en charge de sa première affaire – non sans préciser que ce n’était pas la première fois qu’elle roulait à plus de 200 km/h (cf. P. 34) – elle a récidivé alors que son permis de conduire lui avait été retiré et en apposant sur son véhicule des plaques volées. Cela dénote une intensification de sa volonté délictueuse et un mépris total des normes juridiques, sans aucune considération pour la sécurité d’autrui. Cela étant, les propos menaçants qu’elle a tenus dans le courrier précité, ainsi que dans ceux adressés à la procureure en charge de la présente affaire (P. 17) et à la gendarmerie, sont effectivement inquiétants. Ils le sont à tel point qu’ils ont conduit la procureure à mandater un expert psychiatre pour évaluer la dangerosité de l’intéressée, qui n’a eu de cesse de commettre diverses infractions, uniquement motivées par sa frustration et sa colère. Comme l’a à juste titre retenu le Tribunal des mesures de contrainte dans sa première ordonnance, les agissements de J.________ semblent gouvernés par son impulsivité. Même si l’intéressée s’est jusqu’alors contentée – outre ses délits routiers – de proférer des menaces et de commettre des déprédations, force est de constater qu’elle y a investi une grande énergie, ce qui dénote un certain potentiel de dangerosité. Même si la prévenue s’est jusqu’alors abstenue de s’en prendre physiquement à des représentants de l’autorité malgré ses menaces, on ignore en réalité de</w:t>
      </w:r>
    </w:p>
    <w:p>
      <w:r>
        <w:t>- 12 - quoi elle est véritablement capable et ce que sa mise en détention provisoire a permis d’éviter. Contrairement à ce que soutient l’intéressée, le Ministère public et le Tribunal des mesures de contrainte – qui s’est référé à la demande de prolongation de la détention provisoire, qu’il a qualifiée de complète et convaincante – n’ont pas ignoré les récents courriers qu’elle a adressés à la procureure et aux policiers qu’elle a menacés, ainsi que ses déclarations faites devant l’autorité intimée le 20 juillet 2021. Cependant, vu l’énergie et l’insistance consacrées par l’intéressée à s’opposer à toute forme d’autorité par tous les moyens – y compris dans le cadre (certes au début) de sa détention –, cette ambivalence est au mieux inquiétante et au pire le signe d’une volonté de manipuler l’autorité pour recouvrer la liberté le plus rapidement possible. On ne saurait quoi qu’il en soit se convaincre aussi facilement d’un revirement radical de mentalité de la prévenue et d’une prétendue prise de conscience après à peine trois mois de détention. Le fait que la moto de la prévenue a été vendue n’exclut pas un risque de récidive, la possibilité qu’elle emprunte un tel véhicule demeurant possible en liberté, et elle semble du reste concrètement en mesure de pouvoir s’en procurer un, d’après son écrit du 30 novembre 2020 (cf. P. 34, p. 1, §3). Pour l’ensemble de ces motifs, il est indispensable de connaître les conclusions de l’expert psychiatre afin de disposer d’une évaluation concrète de la dangerosité de cette prévenue impulsive et en colère, avant d’envisager une alternative à la détention. Dans cette attente, l’intérêt à préserver la sécurité publique, notamment des usagers de la route, l’emporte clairement sur la liberté personnelle de l’intéressée. La prolongation de la détention provisoire de J.________ est donc justifiée en raison du risque de récidive important et concret qu’elle présente.</w:t>
      </w:r>
    </w:p>
    <w:p>
      <w:r>
        <w:t>- 13 -</w:t>
      </w:r>
    </w:p>
    <w:p>
      <w:r>
        <w:rPr>
          <w:b/>
        </w:rPr>
        <w:t>E. 4</w:t>
      </w:r>
    </w:p>
    <w:p>
      <w:r>
        <w:t>Aucune mesure de substitution à la détention ne permettrait de prévenir valablement le risque de récidive retenu avant de connaître les conclusions de l’expert et la recourante n’en propose du reste pas, à juste titre.</w:t>
      </w:r>
    </w:p>
    <w:p>
      <w:r>
        <w:rPr>
          <w:b/>
        </w:rPr>
        <w:t>E. 5</w:t>
      </w:r>
    </w:p>
    <w:p>
      <w:r>
        <w:t>La durée de la détention provisoire totale subie par la recourante à ce jour, y compris au terme de la prolongation ordonnée, demeure largement conforme au principe de proportionnalité au regard des mesures d’instruction envisagées, et de la peine encourue en cas de condamnation. Le principe de proportionnalité est dès lors respecté. Il l’est également eu égard aux projets de formation de la prévenue, qui sont certes louables. En effet, comme exposé ci-avant, l’intérêt de préserver la sécurité publique l’emporte clairement sur la liberté personnelle de la recourante, et ce y compris compte tenu de cet élément, même si le fait qu’elle ne puisse pas, comme elle l’allègue – sans toutefois le démontrer à satisfaction –, effectuer son travail complémentaire en détention est regrettable. Cela étant, dans la mesure du possible, il appartiendra au Ministère public de recueillir les conclusions de l’expert psychiatre au plus vite, au besoin oralement, afin de vérifier si elles sont de nature à permettre la mise en place d’éventuelles mesures de substitution.</w:t>
      </w:r>
    </w:p>
    <w:p>
      <w:r>
        <w:rPr>
          <w:b/>
        </w:rPr>
        <w:t>E. 6</w:t>
      </w:r>
    </w:p>
    <w:p>
      <w:r>
        <w:t>Au vu de ce qui précède, le recours, manifestement mal fondé, doit être rejeté sans échange d'écritures (art. 390 al. 2 CPP) et l'ordonnance du 20 juillet 2021 confirmée. Les frais de la procédure de recours, constitués de l’émolument d’arrêt, par 1'320 fr. (art. 20 al. 1 TFIP [tarif des frais de procédure et indemnités en matière pénale du 28 septembre 2010; BLV 312.03.1]), seront mis à la charge de la recourante, qui succombe (art. 428 al. 1 CPP).</w:t>
      </w:r>
    </w:p>
    <w:p>
      <w:r>
        <w:t>- 14 - Par ces motifs, la Chambre des recours pénale prononce : I. Le recours est rejeté. II. L’ordonnance du 20 juillet 2021 est confirmée. III. Les frais d’arrêt, par 1'320 fr. (mille trois cent vingt francs), sont mis à la charge de J.________. IV. L’arrêt est exécutoire. La vice-présidente : Le greffier : Du Le présent arrêt, dont la rédaction a été approuvée à huis clos, est notifié, par l'envoi d'une copie complète, à : - Me Philippe Rossy, avocat (pour J.________), - Ministère public central, et communiqué à : - Mme la Présidente du Tribunal des mesures de contrainte, - Mme la Procureure de l’arrondissement de La Côte, - Direction de la prison de la Tuilière,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