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PE20.020848 vom 22. August 2024</w:t>
      </w:r>
    </w:p>
    <w:p>
      <w:r>
        <w:t>VD Tribunal cantonal, 2024-08-22, FR</w:t>
      </w:r>
    </w:p>
    <w:p>
      <w:r>
        <w:rPr>
          <w:b/>
        </w:rPr>
        <w:t xml:space="preserve">Quelle: </w:t>
      </w:r>
      <w:r>
        <w:t>https://mcp.opencaselaw.ch/entscheid/vd_gerichte_PE20.020848</w:t>
      </w:r>
    </w:p>
    <w:p>
      <w:r>
        <w:t>FR: VD_GERICHTE PE20.020848 du 22 août 2024</w:t>
      </w:r>
    </w:p>
    <w:p>
      <w:r>
        <w:t>IT: VD_GERICHTE PE20.020848 del 22 agosto 2024</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w:t>
      </w:r>
    </w:p>
    <w:p>
      <w:r>
        <w:t>- 11 - pénale du Tribunal cantonal (art. 13 LVCPP [loi vaudoise d’introduction du Code de procédure pénale suisse du 19 mai 2009 ; BLV 312.01] ; art. 80 LOJV [loi vaudoise d’organisation judiciaire du 12 décembre 1979 ; BLV 173.01]).</w:t>
      </w:r>
    </w:p>
    <w:p>
      <w:r>
        <w:rPr>
          <w:b/>
        </w:rPr>
        <w:t>E. 1.1.2</w:t>
      </w:r>
    </w:p>
    <w:p>
      <w:r>
        <w:t>et les réf. cit. ; TF 7B_62/2022 précité consid. 5.2.4 ; TF 6B_866/2022 précité consid. 2.1.2).</w:t>
      </w:r>
    </w:p>
    <w:p>
      <w:r>
        <w:rPr>
          <w:b/>
        </w:rPr>
        <w:t>E. 1.2</w:t>
      </w:r>
    </w:p>
    <w:p>
      <w:r>
        <w:t>En l’espèce, le recours a été interjeté en temps utile devant l’autorité compétente, par le plaignant, qui a la qualité pour recourir (art. 382 al. 1 CPP). Au surplus, le recours satisfait aux conditions de forme prescrites (art. 385 al. 1 CPP). Il est donc recevable.</w:t>
      </w:r>
    </w:p>
    <w:p>
      <w:r>
        <w:rPr>
          <w:b/>
        </w:rPr>
        <w:t>E. 2</w:t>
      </w:r>
    </w:p>
    <w:p>
      <w:r>
        <w:t>et les réf. citées).</w:t>
      </w:r>
    </w:p>
    <w:p>
      <w:r>
        <w:rPr>
          <w:b/>
        </w:rPr>
        <w:t>E. 2.1</w:t>
      </w:r>
    </w:p>
    <w:p>
      <w:r>
        <w:t>Le recourant fait grief au Ministère public de ne s’être fondé que sur l’expertise de crédibilité pour rendre son ordonnance de classement et de n’avoir pas retenu que l’experte relevait que le discours de l’enfant était cohérent. En outre, celle-ci a constaté que l’audition de l’enfant par la police n’avait pas été conduite conformément aux standards applicables et qu’un trop long délai s’était écoulé entre le dévoilement de l’enfant sur les faits et cette audition. Il en déduit que l’absence de respect du protocole relatif à l’audition filmée de l’enfant a biaisé les résultats de l’expertise de crédibilité. Il reproche également à l’autorité pénale de ne pas avoir investigué un évènement troublant rapporté par la curatrice et qui se serait déroulé lors des vacances de l’enfant au Portugal avec sa mère. Celle-ci aurait alors rejoint son fils dans la douche, tous deux étant nus, ce qui aurait gêné l’enfant. Il relève que l’Etat a le devoir de protéger l’enfant mineur, conformément à la Convention sur les droits de l’enfant. Enfin, il invoque une violation du principe in dubio pro duriore, dès lors que de lourds soupçons pèseraient sur la prévenue.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- 12 -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w:t>
      </w:r>
    </w:p>
    <w:p>
      <w:r>
        <w:t>- 13 - crédibles que d’autres, le principe in dubio pro duriore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 juin 2023/458 consid.</w:t>
      </w:r>
    </w:p>
    <w:p>
      <w:r>
        <w:rPr>
          <w:b/>
        </w:rPr>
        <w:t>E. 2.2.2</w:t>
      </w:r>
    </w:p>
    <w:p>
      <w:r>
        <w:t>Aux termes de l'art. 187 ch. 1 aCP (la nouvelle teneur de cette disposition n’étant pas plus favorable à la prévenue : cf. art. 2 al. 1 et 2 CP ; ATF 135 IV 113 consid. 2.1),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Selon la jurisprudence, il faut</w:t>
      </w:r>
    </w:p>
    <w:p>
      <w:r>
        <w:t>- 14 -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6B_194/2024 du 17 mai 2024 consid. 1.1.2 et les réf. cit. ; TF 7B_62/2022 du 2 février 2024 consid. 5.2.2). 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La jurisprudence privilégie une approche objective qui ne prend pas en compte les mobiles de l'auteur ; il faut que, pour un observateur extérieur, le comportement apparaisse clairement comme un acte à caractère sexuel au vu de l'ensemble des circonstances. Il résulte de la jurisprudence que la notion d'acte d'ordre sexuel doit être interprétée plus largement lorsque la victime est un enfant. Dans ce cas, il faut se demander si l'acte, qui doit revêtir un caractère sexuel indiscutable, est de nature à perturber l'enfant (ATF 125 IV 58 précité consid. 3b ; TF 6B_194/2024 précité consid. 1.1.2 et les réf. cit. ; TF 7B_62/2022 précité consid. 5.2.2). À titre d'exemples, les comportements simplement inconvenants, inappropriés, indécents, de mauvais goût, impudiques ou désagréables doivent demeurer en principe hors du champ des actes pénalement répréhensibles (ATF 125 IV 58 précité consid. 3b ; TF 6B_194/2024 précité consid. 1.1.2 et les réf. cit. ; TF 7B_62/2022 précité consid. 5.2.3). Même si ces actes heurtent le sentiment de pudeur, ils ne sont pas de nature à perturber le développement sexuel des mineurs car ils ne se rapportent pas directement à la sexualité (Dupuis et al. [éd.], Petit Commentaire du Code pénal, 2e éd. 2017, n. 21 ad art. 187 CP). En revanche, un baiser lingual, des baisers insistants sur la bouche,</w:t>
      </w:r>
    </w:p>
    <w:p>
      <w:r>
        <w:t>- 15 - de même qu'une caresse insistante du sexe, des fesses ou des seins, même par-dessus les habits, constituent un acte d'ordre sexuel (TF 6B_194/2024 précité consid. 1.1.2 et les réf. cit. ; TF 6B_866/2022 du 5 juin 2023 consid. 4.1.2 et les réf. cit. ; pour de nombreux exemples, cf. TF 7B_62/2022 précité consid. 5.2.3).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6B_194/2024 précité consid.</w:t>
      </w:r>
    </w:p>
    <w:p>
      <w:r>
        <w:rPr>
          <w:b/>
        </w:rPr>
        <w:t>E. 2.2.3</w:t>
      </w:r>
    </w:p>
    <w:p>
      <w:r>
        <w:t>Aux termes de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Selon l’al. 4 de cette disposition,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En vertu de l’al. 5, Quiconque consomme ou, pour sa propre consommation, fabrique, importe, prend en dépôt, acquiert, obtient par</w:t>
      </w:r>
    </w:p>
    <w:p>
      <w:r>
        <w:t>- 16 - voie électronique ou d’une autre manière ou possède des objets ou représentations visés à l’al. 1, ayant comme contenu des actes d’ordre sexuel avec des animaux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Sur le plan subjectif, l'art. 197 al. 5 CP définit une infraction de nature intentionnelle ; le dol éventuel suffit (TF 6B_249/2021 du 13 septembre 2021 consid. 4.1 et les réf. cit.).</w:t>
      </w:r>
    </w:p>
    <w:p>
      <w:r>
        <w:rPr>
          <w:b/>
        </w:rPr>
        <w:t>E. 2.3.1.1</w:t>
      </w:r>
    </w:p>
    <w:p>
      <w:r>
        <w:t>En l’espèce, le recourant se trompe lorsqu’il affirme que le Ministère public s’est uniquement fondé sur l’expertise de crédibilité pour classer la procédure. Il a en réalité considéré que les propos de l’enfant, tant rapportés par son père que ceux tenus lors de l’audition filmée du 27 novembre 2020, devaient être pris avec la plus grande circonspection et mis en perspective avec l’ensemble des circonstances entourant ceux-ci et notamment avec l’expertise de crédibilité. La Chambre de céans considère que l’appréciation du Ministère public est en tout point convaincante et ne prête pas le flanc à la critique. Certes, les expertes ne relèvent pas d’incohérences dans le discours de l’enfant, mais elles expliquent toutefois que son audition par la police ne permet pas de se prononcer sur la crédibilité de celui-ci, dès lors que le récit libre et spontané n’a pas été favorisé et que l’inspecteur a posé des questions suggestives, directes ou à choix. Comme l’a correctement fait le Ministère public, il s’agissait en conséquence de relativiser les propos de l’enfant tenus lors de cette audition. Il s’avère qu’en dehors de cette audition, le seul dépositaire de la révélation des faits a été le recourant, à l’exclusion des multiples autres intervenants entourant l’enfant. On ne peut ignorer le contexte dans lequel le père a fait ces révélations. Elles sont intervenues dans le cadre d’une séparation</w:t>
      </w:r>
    </w:p>
    <w:p>
      <w:r>
        <w:t>- 17 - extrêmement conflictuelle et profondément judiciarisée, qui durait depuis plus de deux ans, dans laquelle les parents s’affrontaient pour obtenir la garde de leur fils. En outre, elles sont apparues moins d’un mois après l’avertissement du juge civil sur un possible retrait de la garde de fait au recourant, qui persistait à ne pas respecter le droit de visite de la mère. Il ressort du rapport d’expertise pédopsychiatrique du Dr [...], ainsi que de l’expertise de crédibilité, que l’enfant subissait les influences de son père, qu’il prenait fait et cause pour lui, en l’idéalisant, tout en dénigrant sa mère, ne voyant en elle aucun aspect positif ni aucune qualité. Enfin, l’enfant se serait confié à son père peu de temps après avoir eu un premier cours d’éducation sexuelle à l’école. A ce stade déjà, les circonstances commandent donc d’appréhender les révélations faites au recourant avec prudence. La teneur de ces révélations doit ensuite être prise avec circonspection : le recourant a rapporté que l’enfant se serait plaint que sa mère lui mettrait la main dans la culotte et lui toucherait le sexe. A.M.________ a contesté ses accusations de manière constante, tout en expliquant, lors de ses auditions devant la police et la procureure, qu’elle avait effectivement déjà touché les parties intimes de son fils, mais sur recommandation du pédiatre, dans un souci de vérification et d’apprentissage. Le Dr [...] a indiqué dans son rapport n’avoir identifié chez la mère aucune tendance pédophile qui pourrait expliquer les gestes qui lui étaient reprochés. Comme le mentionne à juste titre la curatrice dans ses déterminations, la « vérité » de l’enfant a pu être influencée par le contexte. A cela s’ajoute encore qu’aucun élément au dossier ou témoignage direct ne vient corroborer les allégations de N.________. Par conséquent, au vu de l’ensemble des éléments qui précèdent, c’est de manière pleinement justifiée que le Ministère public a considéré que de sérieux doutes existaient sur la culpabilité de la prévenue en lien avec l’infraction d’actes d’ordre sexuel avec des enfants. Ce constat a mené au classement de la procédure sur ce point, classement qui doit être confirmé au vu des faibles chances de condamnation de la prévenue. Le Dr [...] a relevé que celle-ci</w:t>
      </w:r>
    </w:p>
    <w:p>
      <w:r>
        <w:t>- 18 - s’accommodait certainement trop facilement d’un manque de pudeur chez son fils et qu’elle entretenait avec lui une promiscuité gênante. Ce comportement, aussi inadéquat qu’il puisse paraître, n’est pas réprimé par le droit pénal.</w:t>
      </w:r>
    </w:p>
    <w:p>
      <w:r>
        <w:rPr>
          <w:b/>
        </w:rPr>
        <w:t>E. 2.3.1.2</w:t>
      </w:r>
    </w:p>
    <w:p>
      <w:r>
        <w:t>Cela étant, le recourant se plaint du fait que le Ministère public n’aurait pas investigué un évènement troublant qui se serait déroulé lors des vacances de l’enfant passées au Portugal avec sa mère, rapporté par la curatrice – à qui l’enfant s’était confié – dans son courrier du 19 février 2024, soit postérieurement à l’avis de prochaine clôture du 16 janvier 2023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 TF 6B_1157/2019 du 12 novembre 2019 consid. 2.2). A défaut, on se trouve en présence d’un classement implicite, qui doit être annulé (CREP 3 mai 2024/340 consid. 2.2.2 ; CREP 27 mars 2024/15 consid. 2.3 ; CREP 29 décembre 2023/944 consid. 4.2.1.2 et les réf. cit.). Sous réserve de circonstances particulières, l’annulation doit frapper uniquement la décision implicite elle-même, et non pas l’ordonnance attaquée en tant que telle (CREP 3 mai 2024/340 précité ; CREP 27 mars 2024/15 précité ; CREP 29 décembre 2023/944 précité et les réf. cit.). Dans le cas d’espèce, l’ordonnance de classement ne traite pas cet épisode et il semble qu’aucune mesure d’instruction n’ait été conduite à cet égard. On se trouve dès lors en présence d’un classement implicite que le Ministère public doit réparer. Bien que la curatrice ait ensuite conclu implicitement au rejet du recours, l’instruction doit être complétée sur cet élément.</w:t>
      </w:r>
    </w:p>
    <w:p>
      <w:r>
        <w:rPr>
          <w:b/>
        </w:rPr>
        <w:t>E. 2.3.2</w:t>
      </w:r>
    </w:p>
    <w:p>
      <w:r>
        <w:t>La Chambre de céans fait entièrement siennes les considérations du Ministère public relatives à l’infraction de pornographie.</w:t>
      </w:r>
    </w:p>
    <w:p>
      <w:r>
        <w:t>- 19 - Les éléments constitutifs tant objectifs et que subjectifs ancrés à l’art. 197 CP font manifestement défaut en l’espèce. Là encore, les vidéos et photographies prises par la prévenue de son fils peuvent paraître inadéquates et dérangeantes. Il n’empêche qu’elles ne revêtent aucun caractère sexuel, d’une part, et n’ont pas été faites dans un but d’excitation sexuelle, d’autre part. La mère a assuré l’avoir fait pour plaisanter avec son fils et pour garder des souvenirs, expliquant par ailleurs que la famille n’était pas pudique. Le Dr [...] n’a identifié chez elle aucune tendance pédophile et le recourant ne reconnaît aucun penchant de cet ordre chez la prévenue. Enfin, aucun élément au dossier ne permet de douter de ce constat. Le recours doit être rejeté sur ce point.</w:t>
      </w:r>
    </w:p>
    <w:p>
      <w:r>
        <w:rPr>
          <w:b/>
        </w:rPr>
        <w:t>E. 3</w:t>
      </w:r>
    </w:p>
    <w:p>
      <w:r>
        <w:t>En définitive, le recours doit être partiellement admis s’agissant de l’épisode que l’enfant a rapporté à sa curatrice et qui se serait déroulé en vacances au Portugal avec sa mère, le dossier étant renvoyé au Ministère public pour qu’il complète l’instruction à cet égard. Au surplus, le recours doit être rejeté et l’ordonnance confirmée. Le recourant a procédé avec l’assistance de Me Franck-Olivier Karlen. Celui-ci a été désigné le 2 février 2021 par la direction de la procédure en qualité de conseil juridique gratuit. Il n’a toutefois pas formulé de nouvelle demande d’assistance judiciaire pour la procédure de recours comme le commande l’art. 136 al. 3 CPP. Aucune indemnité d’office ne peut donc lui être allouée. Cela étant, dans son acte de recours, N.________ a pris ses conclusions avec suite de frais et dépens. Dès lors, et compte tenu du sort du recours, une indemnité réduite pour les dépenses obligatoires occasionnées par la procédure au sens de l’art. 433 al. 1 CPP doit lui être accordée. Au vu du recours déposé et de la nature de l’affaire, celle-ci sera fixée à 1’200 fr., correspondant à 4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w:t>
      </w:r>
    </w:p>
    <w:p>
      <w:r>
        <w:t>- 20 - 2 TDC [tarif des dépens en matière civile du 23 novembre 2010 ; BLV 270.11.6], applicable par renvoi de l’art. 26a al. 6 TFIP), par 24 fr., plus la TVA au taux de 8,1 %, par 99 fr. 15, soit à 1’323 fr. 15 au total. Le recourant n’ayant obtenu que partiellement gain de cause, cette indemnité sera réduite de deux tiers et ainsi arrêtée à 442 fr. en chiffres arrondis, TVA et débours compris, à la charge de l’Etat. A.M.________, qui a procédé avec l’assistance d’un conseil de choix et qui a obtenu partiellement gain de cause, a droit, de la part de l’Etat, à une indemnité réduite pour les dépenses occasionnées par la procédure de recours. Au vu des déterminations déposées et de la nature de l’affaire, celle-ci sera fixée à 900 fr., correspondant à 3 heures d’activité nécessaire d’avocat au tarif horaire de 300 fr. (art. 26a al. 3 TFIP), montant auquel il convient d’ajouter des débours forfaitaires à concurrence de 2 % des honoraires admis (art. 19 al. 2 TDC, applicable par renvoi de l’art. 26a al. 6 TFIP), par 18 fr., plus la TVA au taux de 8,1 %, par 74 fr. 35, soit à 992 fr. 35 au total. La prévenue n’ayant obtenu que partiellement gain de cause, cette indemnité sera réduite d’un tiers et ainsi arrêtée à 662 fr. en chiffres arrondis, TVA et débours compris, à la charge de l’Etat. L’enfant B.M.________ a procédé par l’intermédiaire de sa curatrice Me Christel Burri. La rémunération appropriée et le remboursement des frais justifiés en faveur de cette représentante (cf. art. 404 al. 1 CC [Code civil suisse du 10 décembre 1907 ; RS 210]) doivent être arrêtés conformément aux principes régissant l’indemnité de défense d’office (cf. Circulaire du Tribunal cantonal n° 41 du 16 mars 2016, par analogie), soit en application de l’art. 422 al. 2 let. a CPP et des normes de droit cantonal en la matière (cf. CREP 28 juin 2023/529). L'indemnité allouée à la curatrice sera ainsi fixée à 360 fr. sur la base d’une durée d’activité nécessaire d’avocat estimée à 2 heures au tarif horaire de 180 fr., auxquels il convient d’ajouter des débours forfaitaires à concurrence de 2 % (art. 3bis al. 1 RAJ [règlement sur l’assistance judiciaire en matière civile du 7 décembre 2010 ; BLV 211.02.3], applicable par renvoi de l’art. 26b TFIP), par 7 fr. 20, et la TVA, par 29 fr.</w:t>
      </w:r>
    </w:p>
    <w:p>
      <w:r>
        <w:t>- 21 - 75, soit à 397 fr. au total, en chiffres arrondis. A l’instar de l’émolument, cette indemnité fait partie des frais de procédure au sens de l’art. 422 al. 1 CPP. Partant, elle sera également laissée à la charge de l’Etat. Vu le sort du recours, qui n’est que partiellement admis, les frais de la procédure, constitués du seul émolument d’arrêt, par 2’090 fr. (art. 20 al. 1 TFIP), seront mis par deux tiers, soit par 1'393 fr. 35, à la charge du recourant, le solde étant laissé à la charge de l’Etat. Le montant de 550 fr. déjà versé par le recourant à titre de sûretés sera imputé sur ces frais (art. 383 al. 1 CPP ; art. 7 TFIP). Par ces motifs, la Chambre des recours pénale prononce : I. Le recours est partiellement admis. II. L’ordonnance de classement du 1er mars 2024, en tant qu’elle vaut classement implicite sur le complexe de fait dénoncé par la curatrice de B.M.________ dans son courrier du 19 février 2024, est annulée. Elle est confirmée pour le surplus. III. Le dossier de la cause est renvoyé au Ministère public de l’arrondissement de l’Est vaudois pour qu’il complète l’instruction dans le sens des considérants. IV. Une indemnité réduite de 442 fr. (quatre cent quarante-deux francs), est allouée à N.________ pour la procédure de recours, à la charge de l’Etat. V. Une indemnité réduite de 622 fr. (six cent vingt-deux francs), est allouée à A.M.________ pour la procédure de recours, à la charge de l’Etat. VI. Une indemnité de 397 fr. (trois cent nonante-sept francs) est allouée à la curatrice Me Christel Burri, à la charge de l’Etat. VII. Les frais d’arrêt, par 2’090 fr. (deux mille nonante francs), sont mis par deux tiers à la charge de N.________, soit par 1'393 fr. 35 (mille trois cent nonante-trois francs et trente-cinq</w:t>
      </w:r>
    </w:p>
    <w:p>
      <w:r>
        <w:t>- 22 - centimes), sous déduction du montant déjà versé à titre de sûretés de 550 fr. (cinq cent cinquante francs), le solde étant laissé à la charge de l’Etat. VIII. L’arrêt est exécutoire. Le président : Le greffier : Du Le présent arrêt, dont la rédaction a été approuvée à huis clos, est notifié, par l'envoi d'une copie complète, à : - Me Franck-Olivier Karlen, avocat (pour N.________), - Me Christel Burri, avocate et curatrice (pour B.M.________), - Me Jacques Barillon, avocat (pour A.M.________), - Ministère public,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