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PE20.020539 vom 14. November 2022</w:t>
      </w:r>
    </w:p>
    <w:p>
      <w:r>
        <w:t>VD Tribunal cantonal, 2022-11-14, FR</w:t>
      </w:r>
    </w:p>
    <w:p>
      <w:r>
        <w:rPr>
          <w:b/>
        </w:rPr>
        <w:t xml:space="preserve">Quelle: </w:t>
      </w:r>
      <w:r>
        <w:t>https://mcp.opencaselaw.ch/entscheid/vd_gerichte_PE20.020539</w:t>
      </w:r>
    </w:p>
    <w:p>
      <w:r>
        <w:t>FR: VD_GERICHTE PE20.020539 du 14 novembre 2022</w:t>
      </w:r>
    </w:p>
    <w:p>
      <w:r>
        <w:t>IT: VD_GERICHTE PE20.020539 del 14 novembre 2022</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w:t>
      </w:r>
    </w:p>
    <w:p>
      <w:r>
        <w:t>- 7 - en cause ce qui a été admis – même implicitement – par le Tribunal fédéral (ATF 148 I 127 précité consid. 3.1 ; ATF 143 IV 214 précité consid. 5.3.3 ; Corboz, Commentaire de la LTF, 3e éd., Berne 2022, n. 27 ad art. 107 LTF). En cas d’admission d’un recours, il appartient à l’autorité de recours de choisir entre la réforme et l’annulation de la décision attaquée (art. 397 al. 2 CPP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loc. cit. ; Moreillon/Parein-Reymond, Petit commentaire, Code de procédure pénale, 2e éd., Bâle 2016, n. 4 ad art. 397 CPP et les réf. citées).</w:t>
      </w:r>
    </w:p>
    <w:p>
      <w:r>
        <w:rPr>
          <w:b/>
        </w:rPr>
        <w:t>E. 1.2</w:t>
      </w:r>
    </w:p>
    <w:p>
      <w:r>
        <w:t>En l’espèce, le Tribunal fédéral a confirmé que la Cour de céans pouvait retenir, sans violer les art. 355 al. 2 CPP et 6 CEDH (Convention de sauvegarde des droits de l’Homme et des libertés fondamentales du 4 novembre 1950 ; RS 0.101), que l’opposition du recourant était réputée retirée. Sur ce point, qui est définitivement tranché, la Cour de céans est liée par l’arrêt du Tribunal fédéral. Celui-ci ayant annulé l’arrêt de la Cour de céans dans son entier, les chiffres du dispositif de cet arrêt rejetant le recours (I) et confirmant l’ordonnance (II) seront repris. Pour ce qui est de l’argumentation, il est renvoyé aux considérants 2 et 3 de l’arrêt de la Cour de céans du 15 octobre 2021. L’arrêt de renvoi du Tribunal fédéral ne concerne que les chiffres III et IV de l’arrêt cantonal. Dans ce cadre, les faits nouveaux – en l’occurrence ceux ayant trait à l’indigence du recourant – sont recevables.</w:t>
      </w:r>
    </w:p>
    <w:p>
      <w:r>
        <w:rPr>
          <w:b/>
        </w:rPr>
        <w:t>E. 2</w:t>
      </w:r>
    </w:p>
    <w:p>
      <w:r>
        <w:t>novembre 2022 et des pièces produites à l’appui de celles-ci, soit notamment sa déclaration d’impôt pour l’année 2021 qui prévoit des montants imposables négatifs (P. 39 et ses annexes), il convient d’admettre que le recourant est indigent. Partant, la première condition posée par l’art. 132 al. 1 let. b CPP est réalisée. Il convient d’examiner la seconde condition – cumulative – posée par l’art. 132 al. 1 let. b CPP, à savoir si l’assistance d’un défenseur d’office est justifiée pour sauvegarder les intérêts du recourant, laquelle s’examine à l’aune des critères mentionnés à l’art. 132 al. 2 et 3 CPP (cf. supra consid. 2.2). D’une part, l’affaire ne doit pas être de peu de gravité (art. 132 al. 2 CPP). Or, l’ordonnance pénale du 11 juin 2021 (cf. supra let. A/a) condamne le recourant à une peine privative de liberté de 80 jours et à une amende de 300 fr., convertible en trois jours de peine privative de liberté de substitution en cas de non-paiement fautif. Conformément à la jurisprudence susmentionnée, son cas doit être</w:t>
      </w:r>
    </w:p>
    <w:p>
      <w:r>
        <w:t>- 10 - considéré comme de peu de gravité. Il faut relever que, s’agissant de cette condition, le recourant ne fait pas valoir qu’il risquerait d’être condamné à une peine privative de liberté supérieure à 120 jours ni que l’issue de la procédure présenterait pour lui une incidence particulière. Pour ce premier motif, l’assistance d’un avocat devant la Chambre des recours pénale ne se justifiait pas. A cela s’ajoute que, contrairement à ce que soutient le recourant, le recours ne présentait pas de difficulté objective ou subjective. En effet, il faut admettre qu’une personne raisonnable et de bonne foi qui aurait disposé de ressources suffisantes n’aurait pas fait appel à un avocat pour déposer un tel recours, notamment parce qu’il pouvait avancer lui-même les arguments tirés de sa prétendue absence de connaissance de la citation à comparaître. Dans ces conditions, la requête d’assistance judiciaire de B.________, pour la procédure de recours, doit être rejetée.</w:t>
      </w:r>
    </w:p>
    <w:p>
      <w:r>
        <w:rPr>
          <w:b/>
        </w:rPr>
        <w:t>E. 2.1</w:t>
      </w:r>
    </w:p>
    <w:p>
      <w:r>
        <w:t>Dans son arrêt du 26 septembre 2022 (consid. 3.4), le Tribunal fédéral, tout en admettant que le comportement du recourant consistant à</w:t>
      </w:r>
    </w:p>
    <w:p>
      <w:r>
        <w:t>- 8 - s’être délibérément rendu inatteignable était constitutif d’un abus de droit (consid. 2.6.1), a considéré que le critère de l’exigence des chances de succès du recours n’était pas pertinent dans le cadre de l’art. 132 al. 1 let. b CPP et a demandé à l’autorité cantonale d’examiner si les conditions de cette disposition étaient en l’espèce remplies (cf. infra consid. 2.2 et 2.3).</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Selon l’art. 132 al. 3 CPP, en tout état de cause, une affaire n’est pas de peu de gravité lorsque le prévenu est passible d’une peine privative de liberté de plus de quatre mois ou d’une peine pécuniaire de plus de 120 jours-amende. Les deux conditions de l’art. 132 al. 2 CPP sont cumulatives (TF 1B_510/2022 du 16 décembre 2022 consid. 3.1 et les réf. citées ; Harari/Jakob/Santamaria, Commentaire romand, Code de procédure pénale suisse, 2e éd., Bâle 2019, n. 61 ad art. 132 CPP et les références). Dans les « cas bagatelle », soit ceux dans lesquels il ne risque qu’une peine de courte durée ou une amende, le prévenu n’a pas, même s’il est indigent, de droit constitutionnel à la désignation d’un défenseur d’office gratuit (ATF 143 I 164 consid. 3.5).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w:t>
      </w:r>
    </w:p>
    <w:p>
      <w:r>
        <w:t>- 9 - la portée qu’a pour le requérant la décision à prendre, avec une certaine réserve lorsque sont en cause principalement ses intérêts financiers (ATF 143 I 164 précité consid. 3.5 et les références ; TF 1B_510/2022 précité consid. 3.2).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La difficulté objective d’une cause est admise sur le plan juridique lorsque la subsomption des faits donne lieu à des doutes (TF 1B_510/2022 précité consid. 3.2 et les réf. citées).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et les réf. citées).</w:t>
      </w:r>
    </w:p>
    <w:p>
      <w:r>
        <w:rPr>
          <w:b/>
        </w:rPr>
        <w:t>E. 2.3</w:t>
      </w:r>
    </w:p>
    <w:p>
      <w:r>
        <w:t>En l’espèce, au vu des déterminations du recourant du</w:t>
      </w:r>
    </w:p>
    <w:p>
      <w:r>
        <w:rPr>
          <w:b/>
        </w:rPr>
        <w:t>E. 3</w:t>
      </w:r>
    </w:p>
    <w:p>
      <w:r>
        <w:t>Compte tenu de ce qui précède, le recours, manifestement mal fondé, doit être rejeté, de même que la requête de désignation d’un défenseur d’office, et l’ordonnance entreprise confirmée. Les frais du présent arrêt, par 990 fr., sont mis à la charge du recourant, qui succombe (art. 428 al. 1 CPP). Par ces motifs, la Chambre des recours pénale prononce : I. Le recours est rejeté. II. L’ordonnance du 4 août 2021 est confirmée. III. La requête de désignation d’un défenseur d’office est rejetée. IV. Les frais d’arrêt, par 990 fr. (neuf cent nonante francs), sont mis à la charge de B.________.</w:t>
      </w:r>
    </w:p>
    <w:p>
      <w:r>
        <w:t>- 11 - V. L’arrêt est exécutoire. La présidente : La greffière : Du Le présent arrêt, dont la rédaction a été approuvée à huis clos, est notifié, par l’envoi d’une copie complète, à : - Me Kathrin Gruber (pour B.________),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