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PE20.020238 vom 21. Januar 2021</w:t>
      </w:r>
    </w:p>
    <w:p>
      <w:r>
        <w:t>VD Tribunal cantonal, 2021-01-21, FR</w:t>
      </w:r>
    </w:p>
    <w:p>
      <w:r>
        <w:rPr>
          <w:b/>
        </w:rPr>
        <w:t xml:space="preserve">Quelle: </w:t>
      </w:r>
      <w:r>
        <w:t>https://mcp.opencaselaw.ch/entscheid/vd_gerichte_PE20.020238</w:t>
      </w:r>
    </w:p>
    <w:p>
      <w:r>
        <w:t>FR: VD_GERICHTE PE20.020238 du 21 janvier 2021</w:t>
      </w:r>
    </w:p>
    <w:p>
      <w:r>
        <w:t>IT: VD_GERICHTE PE20.020238 del 21 gennaio 2021</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 ATF 140 IV 155 consid. 3.3.1), le recours de B.________ est recevable.</w:t>
      </w:r>
    </w:p>
    <w:p>
      <w:r>
        <w:rPr>
          <w:b/>
        </w:rPr>
        <w:t>E. 2</w:t>
      </w:r>
    </w:p>
    <w:p>
      <w:r>
        <w:t>p. 278).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ATF 121 IV 25 consid. 1c p. 25 ; ATF 118 IV 148 consid. 2a p. 151 s.). D'un point de vue subjectif, l'auteur doit avoir agi intentionnellement et dans un dessein d'enrichissement illégitime, lequel peut être réalisé par dol éventuel (ATF 118 IV 32 consid. 2a p. 34).</w:t>
      </w:r>
    </w:p>
    <w:p>
      <w:r>
        <w:rPr>
          <w:b/>
        </w:rPr>
        <w:t>E. 2.1</w:t>
      </w:r>
    </w:p>
    <w:p>
      <w:r>
        <w:t>Le recourant soutient que la vente à T.________ par A.________ de la benne mise à sa disposition, mais dont la propriété ne lui a pas été cédée, constituerait un abus de confiance au sens de l’art. 138 CP. S’agissant des quatre autres bennes, il conviendrait d’enquêter sur le fait de savoir qui les détient et à quel titre, afin de déterminer si des infractions sont ou non réalisées.</w:t>
      </w:r>
    </w:p>
    <w:p>
      <w:r>
        <w:t>- 4 -</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Commet un abus de confiance, au sens de l'art. 138 ch. 1 al. 1 CP, celui qui, pour se procurer ou pour procurer à un tiers un</w:t>
      </w:r>
    </w:p>
    <w:p>
      <w:r>
        <w:t>- 5 - enrichissement illégitime, se sera approprié une chose mobilière appartenant à autrui et qui lui avait été confiée.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w:t>
      </w:r>
    </w:p>
    <w:p>
      <w:r>
        <w:rPr>
          <w:b/>
        </w:rPr>
        <w:t>E. 2.3</w:t>
      </w:r>
    </w:p>
    <w:p>
      <w:r>
        <w:t>En l’espèce, A.________ a admis que B.________ lui avait confié cinq bennes moyennant leur entretien. Il a aussi admis avoir vendu à T.________ une de ces bennes appartenant à B.________ (PV aud. 2, p. 2, R.</w:t>
      </w:r>
    </w:p>
    <w:p>
      <w:r>
        <w:rPr>
          <w:b/>
        </w:rPr>
        <w:t>E. 4</w:t>
      </w:r>
    </w:p>
    <w:p>
      <w:r>
        <w:t>et 5). A ce stade, les éléments constitutifs d’un abus de confiance au sens de l’art. 138 CP paraissent donc réalisés. Certes, A.________, qui travaille comme mécanicien indépendant en machines agricoles, a expliqué que le recourant lui devait un montant de 770 fr. 85 concernant une réparation de voiture, ainsi que le montant de 645 fr. 60 concernant une réparation d’un camion ; il avait donc vendu la benne en question, valant entre 1'500 fr. et 2'000 fr., pour éteindre ces deux factures</w:t>
      </w:r>
    </w:p>
    <w:p>
      <w:r>
        <w:t>- 6 - (PV aud. 2, pp. 2 s., R. 5). Toutefois, le fait que la vente litigieuse soit intervenue en vue de l’extinction de deux factures d’A.________ contre le recourant n’y change rien. Ces factures revêtent un aspect civil. Pour autant, A.________ ne pouvait aliéner une benne qui ne lui appartenait pas pour obtenir le règlement de ces deux factures. C’est donc à tort que la procureure a rendu une ordonnance de non-entrée en matière. Il lui appartiendra d’ouvrir une instruction pénale et d’éclaircir la situation, notamment en ce qui concerne l’élément subjectif de l’infraction. 3. Il résulte de ce qui précède que le recours doit être admis, l'ordonnance attaquée annulée et le dossier de la cause renvoyé au Ministère public de l'arrondissement du Nord vaudois pour qu'il procède dans le sens des considérants. Les frais de la procédure de recours, constitués en l'espèce du seul émolument d'arrêt, par 660 fr. (art. 422 al. 1 CPP et 20 al. 1 TFIP [Tarif des frais de procédure et indemnités en matière pénale du 28 septembre 2010 ; RSV 312.03.1]), seront laissés à la charge de l’Etat (art. 428 al. 4 CPP). Le recourant, qui obtient gain de cause et qui a procédé avec l’assistance d’un mandataire professionnel, a droit à une indemnité pour les dépenses occasionnées par l’exercice raisonnable de ses droits pour la procédure de recours, à la charge de l’Etat. Au vu du mémoire produit, cette indemnité sera fixée à 600 fr. (2 heures d’activité d’avocat au tarif horaire de 300 fr.), auxquels il convient d’ajouter des débours forfaitaires à concurrence de 2% (art. 19 al. 2 TDC [Tarif des dépens en matière civile du 23 novembre 2010 ; BLV 270.11.6], applicable par renvoi de l’art. 26a al. 6 TFIP), par 12 fr., plus un montant correspondant à la TVA, par 47 fr. 10, soit 660 fr. au total en chiffres arrondis.</w:t>
      </w:r>
    </w:p>
    <w:p>
      <w:r>
        <w:t>- 7 - Par ces motifs, la Chambre des recours pénale prononce : I. Le recours est admis. II. L’ordonnance du 10 décembre 2020 est annulée. III. Le dossier de la cause est renvoyé au Ministère public de l’arrondissement du Nord vaudois pour qu’il procède dans le sens des considérants. IV. Les frais d’arrêt, par 660 fr. (six cent soixante francs), sont laissés à la charge de l’Etat. V. Une indemnité de 660 fr. (six cent soixante francs) est allouée à B.________ pour l’exercice raisonnable de ses droits dans la procédure de recours, à la charge de l’Etat. VI. L’arrêt est exécutoire. Le président : La greffière : Du Le présent arrêt, dont la rédaction a été approuvée à huis clos, est notifié, par l'envoi d'une copie complète, à : - Me Jean-Emmanuel Rossel, avocat (pour B.________), - M. A.________, - Ministère public central ; et communiqué à : - Mme la Procureure de l’arrondissement du Nord vaudois,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