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PE20.020219 vom 19. November 2021</w:t>
      </w:r>
    </w:p>
    <w:p>
      <w:r>
        <w:t>VD Tribunal cantonal, 2021-11-19, FR</w:t>
      </w:r>
    </w:p>
    <w:p>
      <w:r>
        <w:rPr>
          <w:b/>
        </w:rPr>
        <w:t xml:space="preserve">Quelle: </w:t>
      </w:r>
      <w:r>
        <w:t>https://mcp.opencaselaw.ch/entscheid/vd_gerichte_PE20.020219</w:t>
      </w:r>
    </w:p>
    <w:p>
      <w:r>
        <w:t>FR: VD_GERICHTE PE20.020219 du 19 novembre 2021</w:t>
      </w:r>
    </w:p>
    <w:p>
      <w:r>
        <w:t>IT: VD_GERICHTE PE20.020219 del 19 novembre 2021</w:t>
      </w:r>
    </w:p>
    <w:p>
      <w:pPr>
        <w:pStyle w:val="Heading2"/>
      </w:pPr>
      <w:r>
        <w:t>Erwägungen</w:t>
      </w:r>
    </w:p>
    <w:p>
      <w:r>
        <w:rPr>
          <w:b/>
        </w:rPr>
        <w:t>E. 1</w:t>
      </w:r>
    </w:p>
    <w:p>
      <w:r>
        <w:t>- 3 -</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interjetés dans le délai légal auprès de l’autorité compétente par des prévenus, qui ont qualité pour recourir (art. 382 al. 1 CPP), les recours sont recevables. Vu leur connexité, il y a lieu de statuer par un seul arrêt sur les deux recours.</w:t>
      </w:r>
    </w:p>
    <w:p>
      <w:r>
        <w:rPr>
          <w:b/>
        </w:rPr>
        <w:t>E. 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w:t>
      </w:r>
    </w:p>
    <w:p>
      <w:r>
        <w:t>- 4 - générale de l’art. 29 al. 1 CPP tend ainsi à éviter au prévenu de devoir comparaître devant plusieurs tribunaux à raison des faits qui lui sont reprochés (Moreillon/Parein-Reymond, op. cit., n. 4 ad art. 29 CPP). Elle tend également à éviter des jugements contradictoires et sert l’économie de la procédure (ATF 138 IV 29 consid. 3.2 ; ATF 138 IV 214 consid. 3.2). Dans ces circonstances, le ministère public peut être tenu de joindre des procédures à l’encontre du même prévenu quand bien même la nature des infractions serait fort différente (ATF 138 IV 214 consid. 3.6 ; Moreillon/Parein-Reymond, op. cit., n. 5 ad art. 29 CPP, qui cite le cas de deux causes portant sur des infractions différentes, à savoir sur des violences domestiques et sur l’infraction d’escroquerie).</w:t>
      </w:r>
    </w:p>
    <w:p>
      <w:r>
        <w:rPr>
          <w:b/>
        </w:rPr>
        <w:t>E. 2.2</w:t>
      </w:r>
    </w:p>
    <w:p>
      <w:r>
        <w:t>En l’espèce, le recourant a commis plusieurs infractions justifiant une poursuite commune. Celles-ci sont de plus de même nature. L’intérêt procédural d’une poursuite commune l’emporte donc sur les motifs personnels invoqués. D’ailleurs, les disputes conjugales sont annoncées comme justifiant un classement. Quant au fait de s’en être pris aux enfants, on ne voit pas ce qu’il y a d’« intime » à ces actes qui s’opposerait à une jonction, comme le soutiennent les recourants. Partant, c’est à juste titre que le Ministère public a retenu que le principe de l’unité de la procédure commandait la jonction des deux causes, et ce quand bien même leurs états de fait sont distincts. Du reste, le fait que le législateur ait envisagé l’hypothèse de la commission par le même prévenu de plusieurs infractions en des lieux différents (cf. art. 34 al. 1 CPP) comme hypothèse de jonction possible (Moreillon/Parein-Reymond, op. cit., n. 4 ad art. 30 CPP) implique qu’il existe en l’espèce une raison objective à la jonction.</w:t>
      </w:r>
    </w:p>
    <w:p>
      <w:r>
        <w:rPr>
          <w:b/>
        </w:rPr>
        <w:t>E. 3</w:t>
      </w:r>
    </w:p>
    <w:p>
      <w:r>
        <w:t>Il résulte de ce qui précède que les recours, manifestement mal fondés, doivent être rejetés sans échange d’écritures (art. 390 al. 2 CPP) et l’ordonnance du 1er novembre 2021 confirmée. Les frais de la procédure de recours, constitués du seul émolument d’arrêt, par 550 fr. (art. 20 al. 1 TFIP [tarif des frais de</w:t>
      </w:r>
    </w:p>
    <w:p>
      <w:r>
        <w:t>- 5 - procédure et indemnités en matière pénale du 28 septembre 2010; BLV 312.03.1]), seront mis à la charge des recourants, qui succombent (art. 428 al. 1 CPP), à titre interne par moitié chacun, et solidairement entre eux pour le tout (art. 418 al. 1 et 2 CPP). Par ces motifs, la Chambre des recours pénale prononce : I. Les recours sont rejetés. II. L’ordonnance du 1er novembre 2021 est confirmée. III. Les frais d’arrêt, par 550 fr. (cinq cent cinquante francs), sont mis à la charge des recourants, solidairement entre eux. IV. L’arrêt est exécutoire. Le président : Le greffier : Du Le présent arrêt, dont la rédaction a été approuvée à huis clos, est notifié, par l'envoi d'une copie complète, à : - M. R.________, - Mme L.________, - Ministère public central, et communiqué à : - Mme la Procureure de l’arrondissement de l’Est vaudois, - Me Virginie Rodigari, avocate (pour D.________),</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