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PE20.020025 vom 8. September 2021</w:t>
      </w:r>
    </w:p>
    <w:p>
      <w:r>
        <w:t>VD Tribunal cantonal, 2021-09-08, FR</w:t>
      </w:r>
    </w:p>
    <w:p>
      <w:r>
        <w:rPr>
          <w:b/>
        </w:rPr>
        <w:t xml:space="preserve">Quelle: </w:t>
      </w:r>
      <w:r>
        <w:t>https://mcp.opencaselaw.ch/entscheid/vd_gerichte_PE20.020025</w:t>
      </w:r>
    </w:p>
    <w:p>
      <w:r>
        <w:t>FR: VD_GERICHTE PE20.020025 du 8 septembre 2021</w:t>
      </w:r>
    </w:p>
    <w:p>
      <w:r>
        <w:t>IT: VD_GERICHTE PE20.020025 del 8 settembre 2021</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w:t>
      </w:r>
    </w:p>
    <w:p>
      <w:r>
        <w:t>- 6 - règle générale, dans le doute, il convient d'ouvrir une enquête pénale (ATF 146 IV 68 consid. 2.1 ; ATF 138 IV 86 consid. 4.2 ; ATF 137 IV 285 consid.</w:t>
      </w:r>
    </w:p>
    <w:p>
      <w:r>
        <w:rPr>
          <w:b/>
        </w:rPr>
        <w:t>E. 2.3</w:t>
      </w:r>
    </w:p>
    <w:p>
      <w:r>
        <w:t>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6B_196/2020 du 14 octobre 2020 consid. 3.1 et les nombreuses références).</w:t>
      </w:r>
    </w:p>
    <w:p>
      <w:r>
        <w:rPr>
          <w:b/>
        </w:rPr>
        <w:t>E. 3.1</w:t>
      </w:r>
    </w:p>
    <w:p>
      <w:r>
        <w:t>La recourante soutient que l’infraction d’escroquerie est réalisée concernant le contrat d’emprunt convertible. Elle expose que le prévenu avait le dessein de s’octroyer un avantage économique puisqu’il n’était pas prévu que le prêt soit remboursé à première requête mais à une date lointaine, que le prévenu a astucieusement trompé K.________ en le dissuadant de vérifier son contrat lors de sa signature et en prévoyant que ce dernier ne procéderait pas à une telle vérification en raison des rapports de confiance existant entre eux, et que la condition du dommage était remplie puisque le prévenu s’était prévalu du contrat d’emprunt pour lui faire notifier abusivement un commandement de payer. La recourante allègue aussi que le Ministère public aurait dû auditionner les personnes impliquées dans la mise en place des contrats d’emprunt, soit T1.________, « Chief Operational Officer », et T2.________, « Finance Manager », afin que ceux-ci attestent que la clause de remboursement telle que le prévenu s’était arrogée ne faisait aucun sens et était inacceptable.</w:t>
      </w:r>
    </w:p>
    <w:p>
      <w:r>
        <w:t>- 7 - La recourante discerne par ailleurs une tentative d’escroquerie dans le fait que le prévenu ait indiqué à la comptable, mandataire externe, que son taux d’activité avait augmenté alors qu’il n’en était rien. Dans la mesure où le prévenu s’est prévalu d’un repas célébrant ce fait auquel auraient assisté au moins quatre personnes, soit T1.________, T2.________, [...] et [...], la recourante sollicite que celles-ci soient entendues.</w:t>
      </w:r>
    </w:p>
    <w:p>
      <w:r>
        <w:rPr>
          <w:b/>
        </w:rPr>
        <w:t>E. 3.2</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références).</w:t>
      </w:r>
    </w:p>
    <w:p>
      <w:r>
        <w:t>- 8 -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 ATF 115 IV 32 consid. 3a ; Corboz, Les infractions en droit suisse, vol. I, 3e éd., Berne 2010, nn. 31 et 38 ad art. 146 CP ; Dupuis et alii, op. cit., n. 32 ad art. 146 CP).</w:t>
      </w:r>
    </w:p>
    <w:p>
      <w:r>
        <w:rPr>
          <w:b/>
        </w:rPr>
        <w:t>E. 3.3.1</w:t>
      </w:r>
    </w:p>
    <w:p>
      <w:r>
        <w:t>En l’espèce, au cours de son audition par la police du 8 mars 2021, K.________ a reconnu que les deux premiers contrats d’emprunt convertibles qu’il avait signés étaient ceux concernant R.________ et le prévenu et qu’il n’avait lu que le contrat de R.________ car c’était le premier qu’il signait (PV aud. 2, R. 12). Le prévenu soutient qu’il aurait discuté avec K.________ d’un potentiel rappel d’impôts de plusieurs centaines de milliers de francs à recevoir, qu’il était primordial qu’il puisse récupérer l’argent prêté à sa demande et que c’est la raison pour laquelle la clause de remboursement de son contrat était différente de celle des autres investisseurs (PV aud. 1, R. 9). K.________ soutient pour sa part que le prévenu lui aurait effectivement parlé de ses problèmes fiscaux, mais que cela se serait passé en février 2020, soit bien après la signature du contrat au début du mois de janvier 2020, et que le prévenu aurait modifié la clause de remboursement à son insu car il n’était plus sûr de pouvoir amener autant d’investisseurs que prévu et se serait ainsi arrangé pour pouvoir récupérer son argent pour le cas où il serait licencié (PV aud. 2, R. 14). On pourrait effectivement auditionner T1.________ et T2.________ afin de connaître leur position sur la signature d’un contrat d’emprunt comportant une clause de remboursement telle que celle prévue pour le prévenu, notamment compte tenu du fait que la société avait besoin de ces liquidités pour financer des essais cliniques et des charges opérationnelles. Il n’en demeure pas moins que l’on ignore ce qui</w:t>
      </w:r>
    </w:p>
    <w:p>
      <w:r>
        <w:t>- 9 - a été discuté entre W.________ et K.________, hormis le fait qu’une créance fiscale a bel et bien été abordée. Même s’il était établi que la version de K.________ est celle de la vérité, il faudrait retenir que l’infraction d’escroquerie n’est pas réalisée. En effet, lorsque le directeur d’une société signe un contrat d’emprunt portant sur 200'000 fr. et qu’il ne le relit pas aux seuls motifs qu’il délègue facilement et qu’il n’a pas le temps de tout lire (PV aud. 2, R. 7), il n’y a à l’évidence aucune tromperie astucieuse au sens de la jurisprudence : il appartenait en effet à K.________ de prendre le temps de relire les deux contrats qui lui étaient soumis, lesquels étaient par ailleurs particulièrement brefs puisqu’ils ne se composaient que de six articles sur une page A4. Cette précaution s’imposait d’autant plus que K.________ a lui-même reconnu qu’il avait déjà des doutes concernant la qualité du travail de son employé avant la signature du contrat d’emprunt le 2 janvier 2020 comme il suit : « Jusqu’en décembre 2019, je ne le voyais pas beaucoup au bureau car il était à 50 %. Il y avait beaucoup de promesses, mais l’argent n’arrivait pas. Je savais qu’il travaillait pour d’autres sociétés et j’ai vraiment eu l’impression que notre société arrivait en dernier. Je m’en suis rendu compte en décembre 2019 (…). Il avait rentré quelques petits investisseurs à raison d’un total de 370'000 fr. environ, mais pas de l’ordre de 2-3 millions comme promis. En décembre 2019, j’ai vraiment été déçu des prestations de W.________. J’étais en train de me retrouver dans une situation inconfortable. J’avais encore des promesses à ce moment-là. » (PV aud. 2, R. 8, pp. 4-5). La recourante ne peut pas non plus se prévaloir d’un lien de confiance existant entre K.________ et W.________ qui aurait dissuadé le premier de ne pas relire le contrat du second, puisque les intéressés ont été mis en contact par un ami commun et ne se connaissaient pas avant leur collaboration (PV aud. 1, R. 7, p. 4 et PV aud. 2, R. 7, p. 4). Force est donc de constater que K.________, en tant que directeur de société, rompu aux affaires dans les domaines des assurances, de l’immobilier et de la construction (PV aud. 2, R. 5), n’a pas procédé à la vérification élémentaire consistant en la simple lecture d’un contrat d’emprunt – d’une somme importante – qui lui était soumis pour signature.</w:t>
      </w:r>
    </w:p>
    <w:p>
      <w:r>
        <w:t>- 10 - K.________ n’ayant ainsi pas agi avec le minimum de prudence que l'on pouvait raisonnablement attendre de lui, c’est à juste titre que le Ministère public a exclu l’infraction d’escroquerie.</w:t>
      </w:r>
    </w:p>
    <w:p>
      <w:r>
        <w:rPr>
          <w:b/>
        </w:rPr>
        <w:t>E. 3.3.2</w:t>
      </w:r>
    </w:p>
    <w:p>
      <w:r>
        <w:t>Concernant l’augmentation de son taux d’activité, W.________ a déclaré qu’il travaillait pour un autre employeur lorsqu’il avait été engagé par X.________ au 1er octobre 2019, que c’était la raison pour laquelle il avait été engagé à mi-temps dès lors qu’il ne pouvait pas quitter son employeur du jour au lendemain, mais qu’il était prévu dès le départ qu’il travaillerait à terme à 100 % pour X.________ (PV aud. 1, R. 7, p. 4). Quant à K.________, il a déclaré ce qui suit : « Mon idée était qu’il puisse à terme travailler à 100 %. Il n’y avait eu que des discussions orales. Il est possible qu’une fois ou l’autre j’aie écrit que ce serait bien qu’il augmente son taux. J’aurais voulu qu’il travaille à 100 % pour ramener de l’argent, parce que je pensais à un certain moment que c’était en raison de son taux partiel qu’il n’arrivait pas à remplir sa mission » (PV aud. 2, R. 10, pp. 5-6). On peut donc en conclure qu’il était prévu que W.________ travaille à terme à 100 % pour le compte de X.________. Cela explique pourquoi K.________ n’a pas réagi au courriel de W.________ du 16 février 2020 annonçant à la comptable qu’il pouvait enfin augmenter son taux d’activité à 100 % dès le lendemain et pourquoi il a signé les ordres de paiement des salaires de février et mars 2020 portant sur les sommes de 19'108 fr. et 28'022 fr. 85 (P. 14/2). L’argument de la recourante selon lequel K.________ aurait été trompé par une affirmation fallacieuse adressée à sa comptable est totalement infondé. Mais même s'il y avait eu tromperie, celle-ci n'en serait pas pour autant astucieuse au sens de l'art. 146 al. 1 CP. En effet, on ne voit pas où se situe l’astuce dans le comportement de W.________ puisque celui-ci n'a procédé à aucune mise en scène subtile, n'a eu recours à aucun procédé raffiné et n'a fait preuve d'aucune rouerie particulière pour endormir la méfiance de sa cible : il s’est borné à écrire un simple courriel au contenu explicite à la comptable de la société, avec copie à K.________. L’audition des quatre témoins requise par la recourante n’y changera rien.</w:t>
      </w:r>
    </w:p>
    <w:p>
      <w:r>
        <w:t>- 11 - Vu ces éléments, c’est à bon droit que le Ministère public n'est pas entré en matière sur ce point.</w:t>
      </w:r>
    </w:p>
    <w:p>
      <w:r>
        <w:rPr>
          <w:b/>
        </w:rPr>
        <w:t>E. 4.1</w:t>
      </w:r>
    </w:p>
    <w:p>
      <w:r>
        <w:t>La recourante soutient que W.________ disposait du pouvoir de signature à deux pour la société, a établi les contrats de prêt et avait pour mission d’aller sur le terrain pour rencontrer des investisseurs potentiels, de sorte qu’en disposant ainsi d’une totale indépendance pour organiser son travail, il avait la qualité de gérant au sens de l’art. 158 CP. En outre, en modifiant en sa faveur la clause d’échéance de son contrat de prêt convertible, W.________ aurait porté atteinte à ses intérêts pécuniaires.</w:t>
      </w:r>
    </w:p>
    <w:p>
      <w:r>
        <w:rPr>
          <w:b/>
        </w:rPr>
        <w:t>E. 4.2</w:t>
      </w:r>
    </w:p>
    <w:p>
      <w:r>
        <w:t>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ch. 1 al. 1 CP). Il y a gestion déloyale aggravée si l’auteur a agi dans le dessein de se procurer ou de procurer à un tiers un enrichissement illégitime (art. 158 ch. 1 al. 3 CP). Cette infraction suppose la réunion de quatre conditions :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 ATF 123 IV 17 consid. 3b ; ATF 120 IV 190 consid. 2b). Il faut cependant que le gérant ait une autonomie suffisante sur tout ou partie de la fortune d'autrui, sur les moyens de production ou le personnel d'une entreprise (ATF 123 IV 17 consid. 3b ; ATF 120 IV 190 consid. 2b).</w:t>
      </w:r>
    </w:p>
    <w:p>
      <w:r>
        <w:t>- 12 -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 ATF 105 IV 307 consid. 3). Ces obligations s'examinent au regard des dispositions légales et contractuelles applicables, des éventuels statuts, règlements internes, décisions de l'assemblée générale, buts de la société et usages spécifiques de la branche (TF 6B_211/2012 du 7 septembre 2012 consid. 3 ; TF 6B_473/2011 du 13 octobre 2011 consid. 1.2.2 ; TF 6B_66/2008 du 9 mai 2008 consid. 6.3.3).</w:t>
      </w:r>
    </w:p>
    <w:p>
      <w:r>
        <w:rPr>
          <w:b/>
        </w:rPr>
        <w:t>E. 4.3</w:t>
      </w:r>
    </w:p>
    <w:p>
      <w:r>
        <w:t>En l’espèce, la recourante se méprend sur la qualité de gérant de W.________. Ce dernier n’avait pas le pouvoir d’administrer des biens de la société d’une certaine importance ; au contraire, selon son contrat de travail, c’est lui qui devait contribuer à la recherche de fonds pour financer des essais cliniques. La recourante n’a par ailleurs jamais prétendu que l’intimé avait un quelconque pouvoir de disposition sur les sommes versées par les investisseurs ou sur d’autres biens de la société. Il n’y a pas non plus de gestion déloyale concernant le contrat de prêt conclu entre les parties puisque, comme on l’a vu ci-dessus, K.________ n’a pas relu le contrat lorsqu’il lui a été soumis pour signature. La non-entrée en matière du Ministère public à cet égard ne prête pas le flanc à la critique et doit être confirmée.</w:t>
      </w:r>
    </w:p>
    <w:p>
      <w:r>
        <w:rPr>
          <w:b/>
        </w:rPr>
        <w:t>E. 5.1</w:t>
      </w:r>
    </w:p>
    <w:p>
      <w:r>
        <w:t>La recourante soutient enfin que l’infraction de tentative de contrainte est réalisée car W.________ lui a réclamé par commandement de payer le remboursement du prêt avant l’échéance convenue.</w:t>
      </w:r>
    </w:p>
    <w:p>
      <w:r>
        <w:rPr>
          <w:b/>
        </w:rPr>
        <w:t>E. 5.2</w:t>
      </w:r>
    </w:p>
    <w:p>
      <w:r>
        <w:t>Se rend coupable de contrainte, au sens de l'art. 181 CP, celui qui, en usant de violence envers une personne ou en la menaçant d'un dommage sérieux, ou en l'entravant de quelque autre manière dans sa</w:t>
      </w:r>
    </w:p>
    <w:p>
      <w:r>
        <w:t>- 13 -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du 20 septembre 2018 consid. 2.1.2 ; ATF 117 IV 445 consid. 2b ; ATF 106 IV 125 consid. 2a) ni que l'auteur ait réellement la volonté de réaliser sa menace (TF 6B_415/2018 du 20 septembre 2018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du 20 septembre 2018 consid. 2.1.2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consid. 2a et les arrêts cités ; TF</w:t>
      </w:r>
    </w:p>
    <w:p>
      <w:r>
        <w:t>- 14 - 6B_415/2018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 TF 6B_415/2018 du 20 septembre 2018 consid. 2.1.3). Ainsi, menacer d'une plainte pénale pour une infraction que rien ne permet sérieusement de soupçonner est un moyen en soi inadmissible (ATF 120 IV 17 consid. 2a/bb ; TF 6B_415/2018 du 20 septembre 2018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6B_153/2017 du 28 novembre 2017 consid. 3.1 et les arrêts cités).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w:t>
      </w:r>
    </w:p>
    <w:p>
      <w:r>
        <w:t>- 15 -</w:t>
      </w:r>
    </w:p>
    <w:p>
      <w:r>
        <w:rPr>
          <w:b/>
        </w:rPr>
        <w:t>E. 5.3</w:t>
      </w:r>
    </w:p>
    <w:p>
      <w:r>
        <w:t>En l’espèce, il n’est pas contesté que l’intimé a prêté la somme de 200'000 fr. à la recourante conformément au contrat de prêt convertible signé le 2 janvier 2020. Le commandement de payer portant sur la somme de 200'000 fr. est donc licite puisque le montant repose sur une créance réelle et que la notification du commandement de payer s’explique en raison de la résiliation des rapports de travail (cf. art. 339 al. 1 CO) et des clauses d’échéance et de remboursement signées par K.________. La prompte démarche de W.________ démontre certes le peu de considération qu’il accorde à son ancien employeur. Quoi qu’il en soit, les éléments constitutifs de l’infraction de tentative de contrainte ne sont pas réalisés et le Ministère public était fondé à ne pas entrer en matière.</w:t>
      </w:r>
    </w:p>
    <w:p>
      <w:r>
        <w:rPr>
          <w:b/>
        </w:rPr>
        <w:t>E. 6</w:t>
      </w:r>
    </w:p>
    <w:p>
      <w:r>
        <w:t>Il résulte de ce qui précède que le recours, manifestement mal fondé, doit être rejeté sans échange d'écritures (art. 390 al. 2 CPP) et l'ordonnance entreprise confirmée. Les frais de la procédure de recours,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14 juin 2021 est confirmée. III. Les frais d’arrêt, par 1'540 fr. (mille cinq cent quarante francs), sont mis à la charge de X.________.</w:t>
      </w:r>
    </w:p>
    <w:p>
      <w:r>
        <w:t>- 16 - IV. L’arrêt est exécutoire. Le président : La greffière : Du Le présent arrêt, dont la rédaction a été approuvée à huis clos, est notifié, par l'envoi d'une copie complète, à : - Mes Olivier Cavadini et Christophe Levet, avocats (pour X.________), - Ministère public central, et communiqué à : - Mme la Procureure du Ministère public de l’arrondissement de l’Est vaudois, - Me Stefan Disch, avocat (pour W.________),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