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PE20.019786 vom 14. Oktober 2021</w:t>
      </w:r>
    </w:p>
    <w:p>
      <w:r>
        <w:t>VD Tribunal cantonal, 2021-10-14, FR</w:t>
      </w:r>
    </w:p>
    <w:p>
      <w:r>
        <w:rPr>
          <w:b/>
        </w:rPr>
        <w:t xml:space="preserve">Quelle: </w:t>
      </w:r>
      <w:r>
        <w:t>https://mcp.opencaselaw.ch/entscheid/vd_gerichte_PE20.019786</w:t>
      </w:r>
    </w:p>
    <w:p>
      <w:r>
        <w:t>FR: VD_GERICHTE PE20.019786 du 14 octobre 2021</w:t>
      </w:r>
    </w:p>
    <w:p>
      <w:r>
        <w:t>IT: VD_GERICHTE PE20.019786 del 14 ottobre 2021</w:t>
      </w:r>
    </w:p>
    <w:p>
      <w:pPr>
        <w:pStyle w:val="Heading2"/>
      </w:pPr>
      <w:r>
        <w:t>Erwägungen</w:t>
      </w:r>
    </w:p>
    <w:p>
      <w:r>
        <w:rPr>
          <w:b/>
        </w:rPr>
        <w:t>E. 31</w:t>
      </w:r>
    </w:p>
    <w:p>
      <w:r>
        <w:t>octobre 2020, à [...] qu’elle se rendrait bientôt au [...], et à un dénommé [...] qu’elle se trouvait à [...]. Aux débats, la prévenue avait produit un extrait de son passeport duquel il ressortait qu’elle avait voyagé à l’étranger entre le 11 et le 12 octobre 2020, dates qui ne correspondaient pas à ses déclarations selon lesquelles elle s’était rendue au [...] entre le 29 et le 30 octobre 2020, ni aux échanges de messages de fin octobre 2020 avec le plaignant, dans lesquels elle indiquait qu’elle se rendrait prochainement à l’étranger pour l’avortement. Les premiers juges ont encore relevé que le 26 juillet 2020, la prévenue avait annoncé à [...] qu’elle avait ses règles. Enfin, elle avait attendu le jour de l’audience de jugement pour produire une déclaration de son gynécologue, datée du 20 août 2021, selon laquelle elle avait subi un avortement au [...] au-delà de la 12e semaine de grossesse. Le tribunal a considéré que cette pièce n’avait aucune valeur probante puisqu’il s’agissait uniquement d’un historique médical et que la référence à un avortement qui y figurait ne pouvait résulter que des propres déclarations de la prévenue, à défaut de quoi les autres éléments matériels qui auraient servi à l’établissement de cette déclaration auraient assurément été produits par la prévenue afin de prouver cet avortement, soit par exemple des documents relatifs à l’intervention au [...] ou le compte rendu d’un examen qui aurait été réalisé en Suisse après cet avortement. 13778X</w:t>
      </w:r>
    </w:p>
    <w:p>
      <w:r>
        <w:t>- 20 - Les premiers juges ont ensuite constaté que la prévenue avait adressé au plaignant, entre le 3 juin et le 10 juillet 2020, pas moins de six messages qui ne lui étaient supposément pas destinés mais qui étaient adressés à « sœurette », « Patricia », « Heidi » et « Ma chère ». Questionnée à ce sujet en cours d’instruction, elle avait invoqué une fausse manipulation. Or, il paraissait invraisemblable qu’elle ait pu se tromper de destinataire à six reprises en l’espace d’un peu plus d’un mois. En outre, à la fin du mois d’août et au début du mois de septembre, la prévenue avait adressé plusieurs messages au plaignant prétendant qu’elle était hospitalisée à Fribourg afin d’avorter, que l’intervention avait échoué et qu’elle avait failli y laisser sa peau. Le 16 septembre 2020, elle lui écrivait encore pour lui parler de ce qu’elle était censée avoir subi à Fribourg. Lors de l’instruction, elle avait admis qu’il s’agissait de purs mensonges et, pour seule explication, avait indiqué qu’elle avait agi de la sorte car le plaignant la pressait. Le 8 septembre 2020, la prévenue avait écrit un message au plaignant dans lequel elle lui avait indiqué qu’il ne lui restait plus d’autre solution que d’aller avorter en Espagne. Par message du 26 octobre 2020, elle lui avait parlé d’un voyage qu’elle devait faire entre le 29 et le 30 octobre 2020 pour aller avorter, le 27 octobre 2020 d’un vol qu’elle devait confirmer d’ici au lendemain, le 28 octobre 2020 d’un billet d’avion à prendre le lendemain et d’un hôtel « là-bas » pour la sortie de l’hôpital. Le 29 octobre 2020, elle avait écrit au plaignant qu’elle allait dormir à Genève pour être tôt à l’aéroport le lendemain. Le Tribunal a considéré que compte tenu du fait que la prévenue n’avait jamais été enceinte et ne s’était jamais rendue, ni en Espagne, ni au [...], pour se faire avorter, tous ces messages n’étaient que purs mensonges. Le Tribunal correctionnel a relevé que le 29 octobre 2020, la prévenue avait écrit au plaignant qu’un avortement ne se faisait pas à crédit et qu’elle acceptait de recevoir 60. Elle s’offusquait alors que le plaignant doute du fait qu’elle ait vraiment l’intention de se faire avorter. Puis, elle avait écrit que, puisque le plaignant n’était pas d’accord de lui verser 80, elle ne se ferait pas avorter. Les nombres 60 et 80 figurant dans ces messages devaient être compris comme 60'000 et 80'000 et correspondaient à une part du solde de 120'000 fr. que le plaignant s’était 13778X</w:t>
      </w:r>
    </w:p>
    <w:p>
      <w:r>
        <w:t>- 21 - encore engagé à verser à la prévenue. Ces messages démontraient clairement que la prévenue exigeait le paiement d’une somme d’argent contre son avortement. Les premiers juges ont ensuite constaté que le 14 novembre 2020, alors qu’elle était censée avoir avorté, la prévenue écrivait encore au plaignant pour lui dire qu’elle allait devoir déménager avec l’arrivée des bébés. Dans un autre message de la fin du mois de novembre 2020, elle avait indiqué au plaignant qu’elle avait encore fait une échographie et parlait de se rendre en Espagne. Dans le message vocal numéroté 20201112, soit datant vraisemblablement du 12 novembre 2020, elle avait parlé du fait qu’elle sortait de chez le médecin, dit qu’elle voulait savoir quand elle devait partir en Espagne et qu’en attendant, elle était obligée de consulter des médecins en Suisse car c’était la loi. Les premiers juges ont retenu ainsi que la prévenue avait continué à prétendre qu’elle était enceinte et à laisser entrevoir la possibilité d’un avortement, encore après la date de son supposé avortement. Ils ont également considéré que le contenu de son dernier message vocal était en totale contradiction avec les déclarations de la prévenue selon lesquelles elle n’avait pas consulté de médecin en Suisse. Sur la base de l’ensemble de ces éléments, le Tribunal correctionnel a retenu que durant la période au cours de laquelle elle avait obtenu du plaignant le versement de 234'800 fr., alors même qu’ils étaient séparés, la prévenue n’avait pas cessé de lui mentir et avait élaboré toute une mise en scène afin de lui faire croire qu’elle lui adressait par erreur des messages destinés à des tiers dans lesquels elle faisait part de ses états d’âme liés à sa prétendue grossesse, qu’elle était hospitalisée à Fribourg en vue d’un avortement qui aurait failli lui coûter la vie, qu’elle avait l’intention de se rendre en Espagne pour avorter, que son départ pour ce pays était imminent puis qu’elle y renonçait finalement, qu’elle envisageait de déménager en vue de la naissance prochaine de ses enfants et qu’elle était suivie par un médecin en Suisse en raison de sa grossesse. La seule explication que la prévenue avait été en mesure de fournir au sujet de ces mensonges avait consisté à clamer que le prévenu 13778X</w:t>
      </w:r>
    </w:p>
    <w:p>
      <w:r>
        <w:t>- 22 - faisait pression sur elle pour qu’elle avorte. Or, il ne ressortait aucunement des messages que contenait le dossier que le plaignant avait exercé une quelconque pression sur la prévenue. Au contraire, c’était la prévenue qui, par un édifice de mensonges et se servant de la crainte qu’éprouvait le plaignant à l’idée qu’elle puisse être enceinte de lui, avait exercé une pression sur celui-ci afin qu’il lui remette un montant total de 234'800 francs. Complète et convaincante, l’appréciation du Tribunal correctionnel ne prête nullement le flanc à la critique. Le fait, comme s’en prévaut l’appelante, que les parties aient eu des relations sexuelles non protégées, qu’un test de grossesse ait été retrouvé dans les affaires de la prévenue, qu’elle avait une photographie dans son téléphone portable et qu’elle ait invité le plaignant à se rendre avec elle chez le gynécologue ne sont nullement déterminants au regard de l’ensemble des éléments relevés plus haut qui démontrent le peu de crédit qu’il convient d’accorder à ses déclarations. Les faits tels que retenus par les premiers juges doivent être confirmés. 4. 4.1 Aux débats d’appel, invoquant la jurisprudence relative à l’art. 156 ch. 1 CP (Code pénal suisse du 21 décembre 1937 ; RS 311.0), l’appelante a reproché aux premiers juges de ne pas avoir tenu compte de l’attitude du plaignant, qui serait critiquable, dans la mesure où il n’aurait pas été « raisonnable », qu’il aurait fait preuve d’une grande naïveté en ne prenant aucune précaution et en ne procédant à aucune vérification. Un tel comportement ne mériterait, selon elle, aucune protection pénale. 4.2 4.2.1 Se rend coupable d'extorsion, au sens de l'art. 156 al. 1 CP, celui qui, dans le dessein de se procurer ou de procurer à un tiers un enrichissement illégitime, aura déterminé une personne à des actes préjudiciables à ses intérêts pécuniaires ou à ceux d'un tiers, en usant de violence ou en la menaçant d'un dommage sérieux. La peine est plus 13778X</w:t>
      </w:r>
    </w:p>
    <w:p>
      <w:r>
        <w:t>- 23 - lourde si l'auteur fait métier de l'extorsion ou s'il a poursuivi à réitérées reprises ses agissements contre la victime (al. 2). Sur le plan objectif, les éléments constitutifs de l'art. 156 CP sont l'usage d'un moyen de contrainte, soit l'usage de la violence ou la menace d'un dommage sérieux, la réalisation d'un acte de disposition préjudiciable par le lésé, un dommage et un lien de causalité entre les éléments précités (cf. ATF 129 IV 22 consid. 4.1). La menace est un moyen de pression psychologique. L'auteur doit faire craindre à la victime un inconvénient, dont l'arrivée paraît dépendre de sa volonté (ATF 122 IV 322 consid. 1a ad art. 181 CP). Il importe peu qu'en réalité l'auteur ne puisse pas influencer la survenance de l'événement préjudiciable (ATF 106 IV 125 consid. 1a ad art. 181 CP) ou qu'il n'ait pas l'intention de mettre sa menace à exécution (ATF 122 IV 322 consid. 1a ad art. 181 CP).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(TF 6B_275/2016 du 9 décembre 2016 et les références citées). L’art. 156 CP protège également les personnes crédules (Mazou, in : Macaluso/Moreillon/Queloz [éd.], Commentaire romand, Code pénal II, Bâle 2017, n. 10 ad art. 156 CP ; Weissenberger, in : Niggli/Wiprächtiger [éd.], Basler Kommentar, Strafrecht II, 4e éd., Bâle 2018, n. 19 ad art. 156 CP). Sur le plan subjectif, l'art. 156 CP suppose l'intention et un dessein d'enrichissement illégitime. L'enrichissement n'est pas illégitime si l'auteur y a droit (cf. ATF 105 IV 29). Une partie de la doctrine préfère dire que l'enrichissement est illégitime s'il est acquis de manière contraire à l'ordre juridique. Si l'auteur n'est pas absolument convaincu de son droit, mais agit néanmoins en acceptant l'éventualité d'un enrichissement 13778X</w:t>
      </w:r>
    </w:p>
    <w:p>
      <w:r>
        <w:t>- 24 - illégitime, le dessein doit être retenu sous la forme du dol éventuel (ATF 105 IV 29 consid. 3a). 4.2.2 Se rend coupable d'escroquerie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donc une tromperie astucieuse. Selon la jurisprudence, l'astuce est réalisée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 ATF 122 II 422 consid. 3a ; ATF 122 IV 246 consid. 3a).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Du point de vue subjectif, l'auteur doit avoir agi intentionnellement et dans un dessein d'enrichissement illégitime (ATF 119 IV 210 consid. 4b). 4.2.3 L'extorsion prime l'escroquerie lorsque l'auteur recourt à une tromperie astucieuse qui n'a pour but que d'étayer les menaces qu'il 13778X</w:t>
      </w:r>
    </w:p>
    <w:p>
      <w:r>
        <w:t>- 25 - formule à l'encontre de la victime. La relation entre les deux dispositions est en revanche délicate si l'auteur recourt à la tromperie et à la contrainte de façon indépendante. Un concours est théoriquement concevable, mais la solution retenue par la doctrine majoritaire consiste à envisager une application alternative de l'une ou l'autre disposition. Il s'agit alors de déterminer quel élément de la tromperie ou de la contrainte s'avère prépondérant, étant précisé que la contrainte, respectivement l'extorsion, devrait généralement prendre le pas sur la tromperie et l'escroquerie (Dupuis et al. [éd.], Petit commentaire, Code pénal, 2e éd., Bâle 2017, n. 31 ad art. 156 CP). 4.3 En l’occurrence, le Tribunal correctionnel a constaté que la prévenue avait menacé le plaignant d’un dommage sérieux en ce sens qu’avoir des jumeaux avec sa maîtresse, alors qu’il était marié, risquait d’avoir de graves conséquences à la fois sur sa vie de couple et sur son patrimoine. Par ailleurs, elle avait agi astucieusement en se prétendant enceinte et en accumulant les mensonges afin de lui faire croire qu’elle allait avorter en échange de son argent, tout en repoussant sans cesse l’échéance de l’intervention dans le but de faire monter les enchères. Il en découlait que les éléments constitutifs tant de l’infraction d’extorsion et chantage, que de celle d’escroquerie étaient réalisés. Les premiers juges ont été d’avis que la contrainte primait la tromperie, dès lors que l’élément qui avait poussé le plaignant à procéder aux divers versements en question était la contrainte résultant de la crainte qu’il avait pour son avenir. Les mensonges et la tromperie réalisés par la prévenue n’étaient que le moyen d’exercer cette contrainte. Cette appréciation ne prête pas le flanc à la critique et doit être confirmée. La prévenue a certes recouru à un édifice de mensonges pour tromper le plaignant. Elle l’a toutefois fait afin d’avoir un moyen de lui faire craindre des conséquences graves pour sa situation financière et la pérennité de son couple. Contrairement à ce que soutient l’appelante, aucune faute ne saurait être reprochée au plaignant qui a cru en ses mensonges. Selon la doctrine précitée, l’art. 156 CP protège au demeurant également les personnes crédules. Quant aux circonstances aggravantes 13778X</w:t>
      </w:r>
    </w:p>
    <w:p>
      <w:r>
        <w:t>- 26 - de l’art. 156 ch. 2 CP qui ont été retenues par les premiers juges, elles doivent également être confirmées, compte tenu des sommes considérables qui ont été soutirées à réitérées reprises à un seul lésé et qui ont assuré à la prévenue, par ailleurs vaguement active dans le commerce pour de faibles revenus selon elle, un train de vie luxueux. 5. L’appelante n’a soulevé aucun moyen en lien avec l’infraction de blanchiment d'argent, si ce n’est le fait de contester qu’elle a obtenu illicitement de l’argent de la part du plaignant. Or, comme retenu au considérant 4.3 ci-dessus, tel a bien été le cas. Par ailleurs, elle a admis avoir transféré 6'920 fr. à l’étranger et avoir dépensé 39'768 fr. en marchandises. Pour le surplus, elle n’a donné aucune d’explication convaincante quant à l’emploi du solde de 137'112 fr., celui-ci demeurant introuvable. La condamnation de l’appelante pour blanchiment d'argent doit par conséquent également être confirmée. 6. La condamnation de l’appelante pour extorsion et chantage qualifiés et blanchiment d’argent étant confirmée, les contestations expressément liées à l'acquittement auquel elle a conclu (confiscation des objets de valeur, affectation de l'argent séquestré à la couverture des frais de justice, maintien au dossier de divers documents comme pièces à conviction, créance compensatrice, conclusions civiles, frais et indemnités) deviennent sans objet. 7. 7.1 L’appelante conteste la quotité de la peine qui lui a été infligée ainsi que son caractère ferme. Aux débats d’appel, elle a soutenu que la gravité de sa faute devrait être relativisée au vu du comportement du plaignant qui n’aurait pas été « raisonnable ». 7.2 7.2.1 Selon l'art. 47 CP, le juge fixe la peine d'après la culpabilité de l'auteur. Il prend en considération les antécédents et la situation personnelle de ce dernier ainsi que l'effet de la peine sur son avenir (al. 1). 13778X</w:t>
      </w:r>
    </w:p>
    <w:p>
      <w:r>
        <w:t>- 27 -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 ; TF 6B_631/2021 du 7 février 2022 consid. 1.1). Le juge dispose d'un large pouvoir d'appréciation dans la fixation de la peine. Le Tribunal fédéral n'intervient que lorsque l'autorité cantonale a fixé une peine en dehors du cadre légal, si elle s'est fondée sur des critères étrangers à l'art. 47 CP,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La motivation doit ainsi justifier la peine prononcée, en permettant de suivre le raisonnement adopté, même si le juge n'est pas tenu d'exprimer en chiffres ou en pourcentages l'importance qu'il accorde à chacun des éléments qu'il cite (ATF 144 IV 313 consid. 1.2 et les arrêts cités ; TF 6B_631/2021 du 7 février 2022 consid. 1.4). Plus la peine est élevée, plus la motivation doit être complète (ATF 127 IV 101 consid. 2c). 13778X</w:t>
      </w:r>
    </w:p>
    <w:p>
      <w:r>
        <w:t>- 28 - 7.2.2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7.2.3 L'art. 42 al. 1 CP prévoit que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6B_401/2021 du 20 décembre 2021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13778X</w:t>
      </w:r>
    </w:p>
    <w:p>
      <w:r>
        <w:t>- 29 - manifeste. Il doit tenir compte de tous les éléments propres à éclairer l'ensemble du caractère du prévenu et ses chances d'amendement. Il ne peut accorder un poids particulier à certains critères et en négliger d'autres qui sont pertinents (ATF 135 IV 180 consid. 2.1 ; ATF 134 IV 1 consid. 4.2.1 ; TF 6B_401/2021 précité consid. 2.1). Dans l'émission du pronostic, le juge dispose d'un large pouvoir d'appréciation, de sorte que le Tribunal fédéral n'intervient qu'en cas d'abus ou d'excès de ce pouvoir (ATF 145 IV 137 consid. 2.2 ; ATF 144 IV 277 consid. 3.1.1). Le défaut de prise de conscience de la faute peut justifier un pronostic défavorable, car seul celui qui se repent de son acte mérite la confiance que l'on doit pouvoir accorder au condamné bénéficiant du sursis (TF 6B_401/2021 précité consid. 2.1 et les arrêts citées). Les antécédents pertinents doivent être pris en compte de manière significative dans l'établissement du pronostic ; ils n'excluent toutefois pas nécessairement le sursis (TF 6B_401/2021 précité consid. 2.1 et les arrêts cités). 7.3 Le Tribunal correctionnel a retenu que la culpabilité de la prévenue était très lourde. La somme qu’elle avait extorquée à sa victime se montait à 234'800 fr. et elle avait encore tenté d’obtenir 120'000 fr. supplémentaires. L’édifice de mensonges qu’elle avait mis en place était considérable. Elle s’en était prise à un homme qu’elle connaissait depuis de nombreuses années et qui avait confiance en elle. Elle avait continué à laisser entrevoir la possibilité d’un avortement au mois de novembre, alors que sa prétendue grossesse durait depuis plus de 5 mois, confinant à l’absurde, dans le but d’obtenir encore 70'000 fr. supplémentaires de sa victime. Elle avait éhontément menti tout au long de la procédure, frisant souvent le ridicule, et s’était positionnée en victime. Enfermée dans ses mensonges, elle n’avait exprimé aucun regret ni démontré un quelconque repentir. Aucun élément ne pouvait être retenu à décharge. La Cour d’appel pénale fait sienne cette appréciation à laquelle il convient d’ajouter comme éléments à charge l'appât du gain comme seule motivation, trois précédentes condamnations – la première, en 2015, pour des infractions à la loi sur la circulation routière et les deux suivantes, en 2018, pour escroquerie à des jours-amende avec sursis –, et 13778X</w:t>
      </w:r>
    </w:p>
    <w:p>
      <w:r>
        <w:t>- 30 - enfin le concours d’infractions. Enfin, contrairement à ce que la prévenue affirme, le comportement de la victime qu’elle a extorquée n’est pas un élément qui réduirait la gravité de sa culpabilité. Pour sanctionner l’infraction la plus grave, soit celle d’extorsion et chantage qualifiés, une peine privative de liberté de 2 ans doit être prononcée, comme retenu en première instance. Celle-ci doit être augmentée de 6 mois pour réprimer l’infraction de blanchiment d’argent, de sorte que la peine privative de liberté de 30 mois infligée par les premiers juges est adéquate et doit être confirmée. Vu la durée des faits reprochés à la prévenue, ses antécédents, son absence totale de remise en question, cette peine ne peut qu'être ferme. Le pronostic d'avenir est en effet résolument sombre et ce n'est pas la révocation du sursis accordé le 5 juin 2018 (cf. consid. 8.2 ci-dessous) portant sur une peine pécuniaire qui aura un effet de choc suffisant pour le renverser. 8. L’appelante conteste également la révocation du sursis qui lui a été accordé le 5 juin 2018. 8.1 Aux termes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 TF 6B_1400/2017 du 26 13778X</w:t>
      </w:r>
    </w:p>
    <w:p>
      <w:r>
        <w:t>- 31 - mars 2018 consid. 2.2). Lors de l'appréciation des perspectives d'amendement, le juge doit prendre en considération l'effet dissuasif que la nouvelle peine peut exercer, si elle est exécutée (ATF 134 IV 140 précité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6B_291/2020 du 15 mai 2020 consid. 2.3). 8.2 L’appelante a récidivé pendant le délai d'épreuve du sursis assortissant la peine pécuniaire de 75 jours-amende à 30 fr. prononcée contre elle le 5 juin 2018. Elle est aujourd’hui condamnée une troisième fois pour des infractions contre le patrimoine. Celles-ci sont en outre de plus en plus sérieuses. Pour ces motifs, qui s’ajoutent à ceux retenus au considérant 7.3 ci-dessus, une révocation du sursis s’impose. 9. L’appelante conteste son expulsion, se prévalant aux débats d’appel de la présence de ses enfants en Suisse. 13778X</w:t>
      </w:r>
    </w:p>
    <w:p>
      <w:r>
        <w:t>- 32 - 9.1 Selon l'art. 66a al. 1 let. c CP, le juge expulse de Suisse l'étranger qui est condamné notamment pour extorsion et chantage qualifiés (art. 156 ch. 2 à 4), pour une durée de cinq à quinze ans. L'art. 66a CP prévoit l'expulsion « obligatoire » de l'étranger condamné pour l'une des infractions ou combinaison d'infractions listées à l'alinéa 1,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(cf. art. 5 al. 2 Cst.; ATF 146 IV 105 consid. 3.4.2 ; ATF 144 IV 332 consid. 3.3.1). Elle doit être appliquée de manière restrictive (ATF 144 IV 332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6B_1369/2019 du 22 janvier 2020 consid. 2.3.1). En règle générale, il convient d'admettre l'existence d'un cas de rigueur au sens de l'art. 66a al. 2 CP lorsque l'expulsion constituerait, pour 13778X</w:t>
      </w:r>
    </w:p>
    <w:p>
      <w:r>
        <w:t>- 33 - l'intéressé, une ingérence d'une certaine importance dans son droit au respect de sa vie privée et familiale garanti par la Constitution fédérale (art. 13 Cst.) et par le droit international, en particulier l'art. 8 CEDH (TF 6B_1421/2019 du 12 février 2020 consid. 1.3 ; TF 6B_1024/2019 du 29 janvier 2020 consid. 1.3.2 ; TF 6B_1299/2019 du 28 janvier 2020 consid. 3.3).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(TF 6B_255/2020 du 6 mai 2020 consid. 1.2.2 ; cf. ATF 134 II 10 consid. 4.3 ; TF 6B_153/2020 du 28 avril 2020 consid. 1.3.2).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 1 CEDH sont avant tout celles qui concernent la famille dite nucléaire, soit celles qui existent entre époux ainsi qu'entre parents et enfants mineurs vivant en ménage commun (TF 6B_286/2020 du 1er juillet 2020 consid. 1.3.2 ; cf. ATF 144 II 1 consid. 6.1 ; ATF 135 1143 consid. 1.3.2, RDAF 2010 I 344). 9.2 En l’espèce, l'expulsion de l’appelante est en principe obligatoire, seul le cas de rigueur étant envisageable. Ressortissante [...], la prévenue s'est installée en 1995 en Suisse lorsqu'elle avait 20 ans. Elle 13778X</w:t>
      </w:r>
    </w:p>
    <w:p>
      <w:r>
        <w:t>- 34 - est divorcée et a trois enfants qui vivent en Suisse mais qui sont désormais majeurs. Elle ne peut donc pas se prévaloir d'une atteinte à sa vie privée. Pour le surplus, elle travaille un peu dans le négoce d’habits de seconde main, sans que cette activité lui procure un revenu significatif. Cette activité peut par ailleurs s’exercer sans difficultés dans un autre pays. En outre, la situation financière de la prévenue, qui habite chez l’un de ses fils, est largement obérée. Au [...], la prévenue, qui affirme provenir d’une famille aisée, a des frères et sœurs et possède des terrains dont elle a hérité. On ne peut donc pas considérer que son expulsion la mettrait dans une situation personnelle grave, étant ajouté que les premiers juges n'ont pas ordonné l'inscription de cette mesure dans le Système d’information Schengen (SIS), de sorte qu'elle pourrait s'installer ailleurs en Europe. Enfin, vu les crimes qu'elle commet, l'intérêt à son expulsion est important et doit l'emporter sur son intérêt à demeurer en Suisse. Son expulsion doit pas conséquent être confirmée. Quant à la durée de 6 ans, proche du minimum légal, elle n'est pas excessive. 10. En définitive, l'appel de G.________ doit être rejeté. Appel de J.________ 11. 11.1 Invoquant l'art. 73 al. 1 let. c CP, le plaignant fait valoir qu'il a cédé l'entier de sa créance à l'Etat alors que la créance compensatrice qui lui a été allouée a été fixée après déduction de la valeur des objets séquestrés. Cette valeur aurait dû lui être allouée également. L’appelant soutient avoir demandé l'allocation du produit de la vente de ces objets en première instance, mais que cela ne ressortirait pas du procès-verbal de l'audience. Il relève avoir demandé en vain au Président du Tribunal correctionnel de rectifier d’office le dispositif de son jugement sur ce point (cf. P. 67 et 68). Cela étant, indépendamment de savoir s’il n’a pas été suffisamment clair ou s’il a omis de le requérir formellement en première instance, le plaignant considère que sa requête peut être formulée également en procédure d’appel. 13778X</w:t>
      </w:r>
    </w:p>
    <w:p>
      <w:r>
        <w:t>- 35 - 11.2 Aux termes de l'art. 73 al. 1 let. b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valeurs patrimoniales confisqués ou le produit de leur réalisation, sous déduction des frais. La loi exige que le dommage ne soit pas couvert, ou ne le soit que partiellement, par une assurance, et qu'il y ait lieu de craindre qu'il ne soit pas réparé par l'auteur ; il s'agit ainsi d'éviter un double paiement au lésé qui s'opérerait au désavantage de l'Etat respectivement de l'auteur. Par ailleurs, le juge ne peut pas ordonner l'allocation d'office, mais uniquement sur requête du lésé (Dupuis et al. [éd.], Petit commentaire, Code pénal, 2e éd., Bâle 2017, nn. 4-5 ad art. 73 CP ; cf. Schmid, Kommentar, Einziehung, Organisiertes Verbrechen, Geldwäscherei, Band I, 2e éd., Zurich 2007, n. 60 ad art. 73 CP ; Bommer, Offensive Verletztenrechte im Strafprozess, Bern 2006, pp. 120 ss ; Kasser, L'allocation au lésé (art. 60 CP) et son application dans le canton de Vaud in : L'avocat et le juge face au droit pénal, Mélanges offerts à Eric Stoudmann, Genève/Zurich/Bâle 2005, p. 91 ; Hirsig-Vouilloz, Commentaire romand, Code pénal I, Art. 1-110 CP, Bâle 2009, n. 22 ad art. 73 CP). Comme condition impérative, la cession doit avoir lieu au plus tard jusqu'à ce que le tribunal en question statue sur la question de l'octroi de l'allocation au sens de l'art. 73 CP. Cela signifie que le lésé doit formuler sa déclaration de cession inconditionnelle avant le prononcé de la décision (TF 6B_190/2010 du 16 juillet 2010 consid 2.1 et les références citées ; Dupuis et al., op cit., n. 7 ad art. 73 CP ; cf. Schmid, op. cit., ad art. 73 CP n° 63). 11.3 En l’espèce, la prévenue a extorqué 234'800 fr. au plaignant. Le montant de 51'000 fr. a été retrouvé et a été immédiatement restitué à celui-ci. Restait donc un dommage de 183'800 fr., pour lequel le plaignant 13778X</w:t>
      </w:r>
    </w:p>
    <w:p>
      <w:r>
        <w:t>- 36 - a pris des conclusions civiles qui lui ont été allouées. Le plaignant a déclaré céder sa créance à l'Etat et les premiers juges ont prononcé une créance compensatrice à concurrence du montant qui n’était plus « disponible », à savoir 167'470 fr., soit 234'800 fr. moins le montant de 51'000 fr. retrouvé moins la somme de 16'330 fr. qui était la valeur estimative des objets de valeur séquestrés. Il serait logique que le produit de réalisation de ces objets soit, après déduction des frais, alloué au plaignant, seul lésé. La seule question qui se pose est celle de savoir si celui-ci l'a demandé en première instance ou, à défaut, s'il peut le faire en deuxième instance. Le Président du Tribunal correctionnel a estimé qu'il n'y avait pas eu de demande formelle (P. 68). Le conseil du plaignant avait demandé l’allocation d’une créance compensatrice fixée à 183'800 francs. Il affirme avoir modifié oralement ses conclusions et demandé « l'allocation de l'entier de la créance compensatrice, respectivement de la créance compensatrice réduite du montant des objets confisqués pour autant que le produit de réalisation lui soit alloué » (P. 67). Le procès-verbal de l’audience du 11 octobre 2021 mentionne que le conseil du plaignant s'est référé à ses conclusions civiles « tout en évoquant la possibilité de déduire un montant de 16'330 fr. de la créance compensatrice ». Ce n'est pas très clair mais cette déduction n'avait de sens que pour autant que la différence soit allouée sous une autre forme au plaignant. En application du principe de la bonne foi, sa déclaration doit être comprise dans ce sens. Quoi qu’il en soit, il est admis que la demande peut être formulée même en procédure d'appel (Favre/Pellet/Stoud-mann, Code pénal annoté, éd. bis et ter, Lausanne 2011, n. 1.3 ad art. 73 CP), ce qui règle la question. L'appel de J.________ doit par conséquent être admis, le produit de la réalisation des montres, sacs et bijoux inventoriés sous fiche n° 51185/20 devant lui être alloué après déduction des frais. Conclusion, frais et indemnités 13778X</w:t>
      </w:r>
    </w:p>
    <w:p>
      <w:r>
        <w:t>- 37 - 12. En définitive, l'appel de G.________ doit être rejeté et celui de J.________ admis, le jugement attaqué devant être réformé dans le sens du considérant qui précède. La liste des opérations produite par Me Laurence Brand Corsani, défenseur d’office de G.________, fait état de 17 heures d’activité d’avocat, ce qui apparaît excessif. Outre la durée d’audience qui n’a été que de 1 heure (au lieu de 2 heures prévues), il y a lieu de ramener à 30 minutes le temps consacré le 3 mars 2022 à une visioconférence avec la prévenue (au lieu de 90 minutes en sus d’une première visioconférence de 80 minutes et de téléphones totalisant 40 minutes). L’étude du dossier le 8 mars 2022 sera ramené à 3 heures (au lieu de 4) et le temps prévu pour les opérations après le présent jugement à 1 heure (au lieu de 90 minutes). Enfin, le temps compté pour la prise de connaissance du jugement de première instance (60 minutes), en sus de celui pour la rédaction d’une déclaration d’appel non motivée (90 minutes), qui l’inclut forcément déjà, ne sera pas pris en compte. En définitive, une durée de 10 h 30 apparaît suffisante pour assurer la défense de la prévenue en deuxième instance. Ainsi, une indemnité de défenseur d'office d'un montant de 2'205 fr. 50, correspondant à une activité d’avocat de 10 h 30 au tarif horaire de 180 fr., par 1’890 fr., à des débours forfaitaires, par 37 fr. 20, à une vacation à 120 fr., et à la TVA au taux de 7,7 %, par 157 fr. 70, sera allouée à Me Laurence Brand Corsani. J.________, qui a procédé avec l’assistance d’un conseil de choix et obtenu gain de cause, a droit à une indemnité pour les dépenses obligatoires occasionnées par la procédure d’appel. Il n’y a pas lieu de s’écarter de la note d’honoraires produite par son avocat, si ce n’est pour réduire à 1 heure la durée de l’audience prévue (2 h 30) et prendre en compte un tarif horaire de 300 fr. au lieu de 380 francs. N’étant pas particulièrement complexe ni en fait ni en droit, la cause ne justifie en effet pas un tarif plus élevé. Une indemnité de 2'888 fr. 10 sera ainsi allouée au plaignant (2’433 fr. [8,11 heures x 300 fr.] + 48 fr. 65 [débours] + 200 fr. [déplacement] + 206 fr. 50 [TVA]) pour les dépenses obligatoires occasionnées par la procédure d’appel, à la charge de la prévenue. 13778X</w:t>
      </w:r>
    </w:p>
    <w:p>
      <w:r>
        <w:t>- 38 - 13. Vu l’issue de la cause, les frais de la procédure d’appel, par 5'685 fr. 50, constitués en l’espèce de l’émolument de jugement, par 3’480 fr. (art. 21 al. 1 et 2 TFIP), ainsi que de l’indemnité allouée au défenseur d’office de G.________, par 2'205 fr. 50, seront mis à la charge de cette dernière, qui succombe (art. 428 al. 1 CPP). G.________ sera tenue de rembourser à l’Etat le montant de l’indemnité en faveur de son défenseur d’office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