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PE20.019761 vom 10. März 2026</w:t>
      </w:r>
    </w:p>
    <w:p>
      <w:r>
        <w:t>VD Tribunal cantonal, 2026-03-10, FR</w:t>
      </w:r>
    </w:p>
    <w:p>
      <w:r>
        <w:rPr>
          <w:b/>
        </w:rPr>
        <w:t xml:space="preserve">Quelle: </w:t>
      </w:r>
      <w:r>
        <w:t>https://mcp.opencaselaw.ch/entscheid/vd_gerichte_PE20.019761</w:t>
      </w:r>
    </w:p>
    <w:p>
      <w:r>
        <w:t>FR: VD_GERICHTE PE20.019761 du 10 mars 2026</w:t>
      </w:r>
    </w:p>
    <w:p>
      <w:r>
        <w:t>IT: VD_GERICHTE PE20.019761 del 10 marzo 2026</w:t>
      </w:r>
    </w:p>
    <w:p>
      <w:pPr>
        <w:pStyle w:val="Heading2"/>
      </w:pPr>
      <w:r>
        <w:t>Erwägungen</w:t>
      </w:r>
    </w:p>
    <w:p>
      <w:r>
        <w:rPr>
          <w:b/>
        </w:rPr>
        <w:t>E. 4.1</w:t>
      </w:r>
    </w:p>
    <w:p>
      <w:r>
        <w:t>L’appelant conteste sa condamnation pour contrainte s’agissant des faits retenus au considérant 2.2 ci-dessus. Il nie toute forme de violence ou de menace à l’encontre de la plaignante et relève qu’aucune lésion n’aurait été constatée sur la victime.</w:t>
      </w:r>
    </w:p>
    <w:p>
      <w:r>
        <w:rPr>
          <w:b/>
        </w:rPr>
        <w:t>E. 4.2</w:t>
      </w:r>
    </w:p>
    <w:p>
      <w:r>
        <w:t>Les principes régissant l’appréciation des preuves et les éléments constitutifs de l’infraction de contrainte ont été développés aux considérants 3.2.1 et 3.2.2 ci-dessus, de sorte qu’il peut y être renvoyé.</w:t>
      </w:r>
    </w:p>
    <w:p>
      <w:r>
        <w:rPr>
          <w:b/>
        </w:rPr>
        <w:t>E. 4.3</w:t>
      </w:r>
    </w:p>
    <w:p>
      <w:r>
        <w:t>Avec le premier juge, il faut retenir que les déclarations de la plaignante sont parfaitement crédibles au regard de l’agressivité manifestée contre elle par l’appelant le jour en question, confirmée par la gynécologue et son assistante, et de la position qu’elle avait adoptée par rapport à sa grossesse, qui contrariait sa volonté. Le message envoyé par CX.________ à son amie pour lui demander d’appeler la police atteste de la situation de contrainte qu’elle subissait, l’appelant ayant la ferme intention de l’amener de gré ou de force chez la gynécologue pour faire pratiquer l’avortement auquel elle s’opposait. Le fait que l’appelant ait lui-même pris rendez-vous chez la praticienne conforte cette appréciation. Les faits tels que décrits par la plaignante et retenus au considérant 2.2 ci-dessus doivent donc être tenus pour établis. L’appelant a utilisé la force, en prenant sa compagne par le bras et en la poussant dans la voiture, pour la conduire au cabinet de gynécologie. Il a agi avec conscience et volonté. Les éléments constitutifs de l’infraction de contrainte sont ainsi réalisés. Le fait qu’aucune lésion n’ait été constatée sur le corps de la plaignante n’est pas déterminant, dès lors que les faits décrits ne sont pas de nature à laisser des marques ; il est au demeurant rappelé que l’appelant a été libéré du chef d’accusation de voies de fait en première instance pour avoir saisi CX.________ par le cou au cabinet médical, cette contravention étant prescrite. Compte tenu de ce qui précède, la condamnation de l’appelant pour contrainte doit être confirmée. 13J010</w:t>
      </w:r>
    </w:p>
    <w:p>
      <w:r>
        <w:t>- 17 -</w:t>
      </w:r>
    </w:p>
    <w:p>
      <w:r>
        <w:rPr>
          <w:b/>
        </w:rPr>
        <w:t>E. 5.1</w:t>
      </w:r>
    </w:p>
    <w:p>
      <w:r>
        <w:t>L’appelant conteste sa condamnation pour accès indu à un système informatique. Il nie avoir envoyé la vidéo et la photographie de CX.________ aux contacts de celle-ci et fait valoir que les faits ne reposeraient que sur les déclarations de la plaignante, laquelle serait toujours demeurée en possession de son téléphone. Il soutient par ailleurs que s’il est certes informaticien, il n’aurait pas les compétences d’un pirate informatique. Il invoque l’existence d’un doute quant à l’auteur des faits qui lui sont reprochés, l’adresse IP de l’expéditeur n’ayant pas été examinée par le Ministère public.</w:t>
      </w:r>
    </w:p>
    <w:p>
      <w:r>
        <w:rPr>
          <w:b/>
        </w:rPr>
        <w:t>E. 5.2</w:t>
      </w:r>
    </w:p>
    <w:p>
      <w:r>
        <w:t>Aux termes de l’art. 143bis al. 1 aCP, quiconque s’introduit sans droit, au moyen d’un dispositif de transmission de données, dans un système informatique appartenant à autrui et spécialement protégé contre tout accès de sa part est, sur plainte, puni d’une peine privative de liberté de trois ans ou d’une peine pécuniaire. L’art. 143bis aCP, qui se trouve dans les infractions contre le patrimoine, incrimine le piratage informatique, à savoir l’intrusion dans un système informatique appartenant à autrui. Par analogie avec ce qui prévaut dans le contexte de la violation de domicile, la disposition protège la paix informatique et plus particulièrement le droit du titulaire du système informatique d’en maîtriser l’accès et de le contrôler à sa guise (Dupuis et al. [éd.], Petit commentaire, Code pénal, 2e éd., Bâle 2017, n. 2 ad art. 143bis CP et les références citées). C’est la liberté qu’a l’ayant droit de décider qui peut accéder à une installation informatique sécurisée et aux données qui y sont stockées qui est protégée (ATF 145 IV 185 consid. 2.1 et les références citées, JdT 2019 IV 312).</w:t>
      </w:r>
    </w:p>
    <w:p>
      <w:r>
        <w:rPr>
          <w:b/>
        </w:rPr>
        <w:t>E. 5.3</w:t>
      </w:r>
    </w:p>
    <w:p>
      <w:r>
        <w:t>Compte tenu du contexte dans lequel s’inscrivait la relation de couple des parties au moment des faits, étant relevé que l’envoi a été effectué la nuit qui a suivi les événements du 23 juin 2020, on ne peut que croire la plaignante lorsqu’elle affirme qu’elle n’a pas elle-même envoyé la vidéo et la photographie de ses ébats sexuels avec l’appelant à ses propres 13J010</w:t>
      </w:r>
    </w:p>
    <w:p>
      <w:r>
        <w:t>- 18 - contacts, à savoir à sa famille, son employeur, ses collègues et un groupe de parents d’élèves. En outre, la profession d’informaticien de l’appelant lui donnait les moyens de s’approprier les données d’accès Whatsapp de sa compagne, étant précisé qu’il n’y a nul besoin d’être un hacker pour y parvenir. Son animosité à l’égard de la plaignante et du plaignant lui en donnait le mobile. Quand bien même l’adresse IP de l’expéditeur des messages n’a pas été déterminée, il ne fait ainsi aucun doute que c’est bien l’appelant qui s’est introduit contre la volonté de la plaignante dans son application de messagerie pour envoyer une photographie et une vidéo d’elle à ses contacts. Le comportement de l’appelant réalise les éléments constitutifs de l’infraction de l’art. 143bis al. 1 aCP. Sa condamnation pour ce chef d’accusation doit donc être confirmée.</w:t>
      </w:r>
    </w:p>
    <w:p>
      <w:r>
        <w:rPr>
          <w:b/>
        </w:rPr>
        <w:t>E. 6.1</w:t>
      </w:r>
    </w:p>
    <w:p>
      <w:r>
        <w:t>L’appelant conteste sa condamnation pour menaces en lien avec les faits retenus au considérant 2.4 ci-dessus. Il nie être l’auteur du message en cause, faisant valoir que le numéro de téléphone ne serait pas visible et que la photographie de profil de l’expéditeur serait différente de la sienne. Il soutient en outre que le plaignant aurait eu des raisons de l’accuser à tort dans le cadre de la procédure de divorce le divisant d’avec CX.________.</w:t>
      </w:r>
    </w:p>
    <w:p>
      <w:r>
        <w:rPr>
          <w:b/>
        </w:rPr>
        <w:t>E. 6.2</w:t>
      </w:r>
    </w:p>
    <w:p>
      <w:r>
        <w:t>Selon l'art. 180 al. 1 aCP, se rend coupable de menaces celui qui, par une menace grave, aura alarmé ou effrayé une personne.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mettre à exécution sa menace (TF 7B_1400/2024 du 7 juillet 2025 consid. 4.2 ; TF 6B_487/2024 et 6B_488/2024 du 9 avril 2025 consid. 3.2 ; TF 6B_589/2024 du 17 janvier 13J010</w:t>
      </w:r>
    </w:p>
    <w:p>
      <w:r>
        <w:t>- 19 - 2025 consid. 4.1). Toute menace ne tombe pas sous le coup de l'art. 180 CP. La loi exige que la menace soit grave ; c'est le cas si elle est objectivement de nature à alarmer ou à effrayer la victime. Il convient à cet égard de tenir compte de la réaction qu'aurait une personne raisonnable face à une situation identique (TF 7B_1400/2024 précité consid. 4.2 ; TF 6B_487/2024 et 6B_488/2024 précité consid. 3.2 ; TF 6B_589/2024 précité consid. 4.1). Les menaces de lésions corporelles graves ou de mort doivent être considérées comme des menaces graves au sens de l'art. 180 CP (TF 6B_787/2018 du 1er octobre 2018 consid. 3.1 ; TF 6B_1428/2016 du 3 octobre 2017 consid. 2.1 et la référence citée). Il faut en outre que la victime soit effectivement alarmée ou effrayée, c'est-à-dire qu'elle craigne que le préjudice annoncé se réalise ; cela implique, d'une part, qu'elle le considère comme possible et, d'autre part, qu'il soit d'une telle gravité qu'il suscite de la peur (ATF 135 IV 152 consid. 2.3.2 ; ATF 119 IV 1 consid. 5a ; TF 7B_1400/2024 précité consid. 4.2 et les références citées). Subjectivement, l'auteur doit avoir l'intention non seulement de proférer des menaces graves, mais aussi d'alarmer ou d'effrayer le destinataire. Le dol éventuel suffit (TF 7B_1400/2024 précité consid. 4.2 ; TF 6B_383/2024 du 7 juin 2024 consid. 5.1.1 ; TF 6B_754/2023 du 11 octobre 2023 consid. 3.1).</w:t>
      </w:r>
    </w:p>
    <w:p>
      <w:r>
        <w:rPr>
          <w:b/>
        </w:rPr>
        <w:t>E. 6.3</w:t>
      </w:r>
    </w:p>
    <w:p>
      <w:r>
        <w:t>Il ne fait aucun doute que l’appelant est bien l’expéditeur du message adressé à DX.________. La police a en effet pu déterminer que le propriétaire du numéro de téléphone qui avait envoyé le message en cause au plaignant était B.________ (cf. P. 4, dossier B), étant précisé que CX.________ a confirmé avoir transmis le numéro de téléphone du plaignant à l’appelant, qui connaissait la situation de vulnérabilité de DX.________ (cf. PV aud. 3, dossier B). Le fait que la photographie de profil ne soit pas la même que la sienne n’est pas probant. Bien que l’injure soit prescrite, le terme « chienne de la casse » avait de surcroît déjà été utilisé par l’appelant dans un précédent message. Enfin, contrairement à ce que soutient l’appelant, le plaignant n’avait aucun intérêt à le mettre en cause dans le cadre de la procédure de divorce qui le divisait d’avec CX.________, dès lors qu’il avait d’ores et déjà la garde de leurs filles. 13J010</w:t>
      </w:r>
    </w:p>
    <w:p>
      <w:r>
        <w:t>- 20 - Quant au contenu du message, les termes utilisés étaient propres à effrayer le plaignant, dès lors qu’ils le menacent de subir une agression. Le plaignant a déclaré qu’il avait eu peur de sortir, de sorte qu’il a effectivement été alarmé par ces propos, but que l’appelant cherchait du reste précisément à atteindre. Les éléments constitutifs objectifs et subjectifs de l’infraction de menaces sont ainsi réunis.</w:t>
      </w:r>
    </w:p>
    <w:p>
      <w:r>
        <w:rPr>
          <w:b/>
        </w:rPr>
        <w:t>E. 7.1</w:t>
      </w:r>
    </w:p>
    <w:p>
      <w:r>
        <w:t>L’appelant, qui conclut à son acquittement, ne conteste pas la peine en tant que telle. Celle-ci doit néanmoins être examinée d’office.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6B_251/2025 et 6B_253/2025 du 6 août 2025 consid. 3.1). 13J010</w:t>
      </w:r>
    </w:p>
    <w:p>
      <w:r>
        <w:t>- 21 -</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du 20 janvier 2025 consid. 1.1).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6B_328/2024 précité consid. 2.3.1).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précité consid. 2b ; TF 6B_1242/2023 du 2 octobre 2024 consid. 4.1.3).</w:t>
      </w:r>
    </w:p>
    <w:p>
      <w:r>
        <w:rPr>
          <w:b/>
        </w:rPr>
        <w:t>E. 7.3</w:t>
      </w:r>
    </w:p>
    <w:p>
      <w:r>
        <w:t>B.________ est en définitive reconnu coupable d’accès indu à un système informatique, de menaces, de contrainte et de tentative de 13J010</w:t>
      </w:r>
    </w:p>
    <w:p>
      <w:r>
        <w:t>- 22 - contrainte. Compte tenu de ses nombreux antécédents, une peine privative de liberté s’impose pour sanctionner toutes les infractions retenues à son encontre pour des motifs de prévention spéciale, l’appelant n’ayant manifestement tiré aucune leçon de ses précédentes condamnations. La contrainte et la tentative de contrainte sont abstraitement de la même gravité. Concrètement, la tentative de contrainte en lien avec la volonté d’obtenir de la plaignante qu’elle avorte est la plus grave en l’espèce. La culpabilité de l’appelant est lourde s’agissant de ces faits. Par son comportement odieux et égoïste, il a fait preuve d’une absence totale de considération pour la volonté pourtant clairement exprimée par sa compagne. Les messages qu’il lui a envoyés démontrent que la plaignante n’avait d’intérêt à ses yeux que pour lui permettre de valider ses démarches administratives visant à l’obtention d’un permis de séjour. Il n’y a aucun élément à décharge, dès lors que ce n’est finalement qu’en raison de la fausse couche, soit d’une circonstance indépendante de sa volonté, que l’appelant a cessé d’exercer des pressions sur sa compagne. Cette infraction de base, demeurée au stade de la tentative, justifie le prononcé d’une peine privative de liberté de quatre mois. Cette peine sera aggravée, par l’effet du concours avec l’infraction d’accès indu à un système informatique, d’une peine privative de liberté de quatre mois (peine théorique hors concours de six mois). La culpabilité de l’appelant est lourde s’agissant de ces faits. Il a agi dans le seul but de détruire la réputation de la plaignante et de l’humilier, en diffusant largement des images intimes d’elle à ses contacts, en particulier à un groupe de parents d’élèves. Ce procédé particulièrement lâche et cruel a causé une atteinte à la personnalité de la plaignante qui s’inscrit dans la durée. On ne voit aucune circonstance à décharge. Les effets du concours conduisent encore à l’augmentation de cette peine d’un mois pour sanctionner la contrainte (peine théorique hors concours de deux mois). La culpabilité de l’appelant est importante s’agissant de ces faits, car ils ont été commis dans le contexte des pressions exercées sur sa compagne pour obtenir d’elle qu’elle avorte. Ainsi, même 13J010</w:t>
      </w:r>
    </w:p>
    <w:p>
      <w:r>
        <w:t>- 23 - si les actes en eux-mêmes sont d’une intensité relativement faible, ils ne sauraient être sous-estimés dès lors que la plaignante s’est sentie à ce point en danger qu’elle a demandé l’aide d’une amie pour faire appel à la police. La peine sera enfin encore aggravée d’un mois, par l’effet du concours, pour sanctionner l’infraction de menaces à l’endroit de DX.________ (peine théorique hors concours de deux mois). S’agissant de ces faits, la culpabilité de l’appelant est moyenne. A charge, il y a lieu de retenir que les menaces ont été proférées contre l’intégrité du futur ex-mari de sa compagne dans le cadre d’une situation qui ne le concernait pas. Il ressort des déclarations de l’appelant lui-même qu’il savait que le plaignant était une personne vulnérable qui rencontrait des difficultés sur le plan de la santé. On ne discerne aucun élément à décharge. Il résulte de ce qui précède que c’est une peine privative de liberté de dix mois qui aurait dû être infligée à l’appelant. Dans la mesure où la quotité de la peine prononcée par le Tribunal de police ne peut pas être augmentée sous peine de violer le principe de l’interdiction de la reformatio in pejus, la peine privative de liberté de six mois doit être confirmée.</w:t>
      </w:r>
    </w:p>
    <w:p>
      <w:r>
        <w:rPr>
          <w:b/>
        </w:rPr>
        <w:t>E. 7.4.1</w:t>
      </w:r>
    </w:p>
    <w:p>
      <w:r>
        <w:t>Compte tenu de la quotité de la peine, il y a lieu d’examiner si les conditions d’un sursis à l’exécution de celle-ci sont remplies.</w:t>
      </w:r>
    </w:p>
    <w:p>
      <w:r>
        <w:rPr>
          <w:b/>
        </w:rPr>
        <w:t>E. 7.4.2</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6B_309/2025 du 15 octobre 2025 consid. 3.1 ; TF 13J010</w:t>
      </w:r>
    </w:p>
    <w:p>
      <w:r>
        <w:t>- 24 - 6B_1092/2023 du 24 mai 2024 consid. 5.1 ; TF 6B_1137/2022 du 7 juillet 2023 consid. 5.1).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6B_665/2025 du 5 novembre 2025 consid. 2.2.1). Le défaut de prise de conscience de la faute peut justifier un pronostic défavorable, car seul celui qui se repent de son acte mérite la confiance que l'on doit pouvoir accorder au condamné bénéficiant du sursis (TF 6B_665/2025 précité consid. 2.2.1 ; TF 6B_309/2025 précité consid. 3.1 ; TF 6B_820/2022 du 15 mai 2023 consid. 2.1).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7.4.3</w:t>
      </w:r>
    </w:p>
    <w:p>
      <w:r>
        <w:t>Le premier juge a retenu que les conditions objectives du sursis étaient réunies malgré les antécédents de l’appelant et qu’il pouvait encore lui être accordé sur le plan subjectif, dans la mesure où ses précédentes condamnations n’étaient pas du tout en lien avec le comportement agressif qu’il avait eu dans le cadre de la présente affaire, étant précisé qu’il n’avait pas commis de nouvelles infractions depuis les derniers faits qui lui étaient reprochés. Cette appréciation particulièrement généreuse doit être confirmée en raison du même principe applicable à la quotité de la peine. Force est de constater que les antécédents et la posture de l’appelant, qui nie l’intégralité des faits qui lui sont reprochés, excluent le prononcé d’un délai d’épreuve inférieur aux trois ans fixés par le Tribunal de police. 13J010</w:t>
      </w:r>
    </w:p>
    <w:p>
      <w:r>
        <w:t>- 25 - Au vu de ce qui précède, la peine privative de liberté de six mois avec sursis pendant trois ans sera donc confirmée.</w:t>
      </w:r>
    </w:p>
    <w:p>
      <w:r>
        <w:rPr>
          <w:b/>
        </w:rPr>
        <w:t>E. 8</w:t>
      </w:r>
    </w:p>
    <w:p>
      <w:r>
        <w:t>L’appelant conclut à l’irrecevabilité, subsidiairement au rejet des conclusions civiles de DX.________. Aux débats d’appel, le plaignant a retiré sa conclusion, formulée aux débats de première instance, tendant à l’octroi d’une indemnité de 100'000 fr. à titre de tort moral. L’appel sera donc admis sur ce point et le chiffre V du dispositif du jugement de première instance supprimé.</w:t>
      </w:r>
    </w:p>
    <w:p>
      <w:r>
        <w:rPr>
          <w:b/>
        </w:rPr>
        <w:t>E. 9.1</w:t>
      </w:r>
    </w:p>
    <w:p>
      <w:r>
        <w:t>L’appelant conclut, sans toutefois motiver ce moyen, à ce que les frais de première instance soient laissés à la charge de l’Etat.</w:t>
      </w:r>
    </w:p>
    <w:p>
      <w:r>
        <w:rPr>
          <w:b/>
        </w:rPr>
        <w:t>E. 9.2</w:t>
      </w:r>
    </w:p>
    <w:p>
      <w:r>
        <w:t>En vertu de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13J010</w:t>
      </w:r>
    </w:p>
    <w:p>
      <w:r>
        <w:t>- 26 - La condamnation d'un prévenu acquitté à supporter tout ou partie des frais doit respecter la présomption d'innocence, consacrée par les art. 32 al. 1 Cst. et 6 § 2 CEDH. Celle-ci interdit de rendre une décision défavorable au prévenu libéré en laissant entendre que celui-ci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6B_76/2024 du 7 octobre 2024 consid. 3.1 ; TF 7B_74/2023 du 30 septembre 2024 consid. 4.2.2). Selon la jurisprudence, la condamnation aux frais d'un prévenu acquitté ne résulte pas d'une responsabilité pour une faute pénale, mais d'une responsabilité proche du droit civil, née d'un comportement fautif. Il est compatible avec les art. 32 al. 1 Cst. et 6 § 2 CEDH de mettre les frais à la charge d'un prévenu libéré qui, d'une manière engageant sa responsabilité civile, a manifestement violé une règle de comportement écrite ou non écrite pouvant découler de l'ordre juridique suisse dans son ensemble – dans le sens d'une application par analogie des principes découlant de l'art. 41 CO (Code des obligations ; RS 220) (ATF 144 IV 202 précité et les références citées ; TF 7B_74/2023 précité ; TF 7B_28/2022 du 8 avril 2024 consid. 2.2.2 et 2.2.3) – et a ainsi provoqué l'ouverture d'une enquête pénale ou compliqué celle-ci (ATF 116 la 162 consid. 2d et 2e ; TF 6B_87/2012 du 27 avril 2012 consid. 1.2).</w:t>
      </w:r>
    </w:p>
    <w:p>
      <w:r>
        <w:rPr>
          <w:b/>
        </w:rPr>
        <w:t>E. 9.3</w:t>
      </w:r>
    </w:p>
    <w:p>
      <w:r>
        <w:t>Le Tribunal de police a constaté que B.________ s’était rendu coupable d’accès indu à un système informatique, de menaces, de contrainte et de tentative de contrainte à raison des faits mentionnés aux considérants 2.1 à 2.4 ci-dessus. Il a par ailleurs retenu que le prévenu avait commis des voies de fait en saisissant CX.________ par le cou au moment où celle-ci voulait s’enfermer dans les toilettes (cf. consid. 2.2 supra) et qu’il s’était rendu coupable d’injure à raison des faits mentionnés au considérant 2.4 ci-dessus et au chiffre 4 de l’acte d’accusation. Il a toutefois relevé que 13J010</w:t>
      </w:r>
    </w:p>
    <w:p>
      <w:r>
        <w:t>- 27 - ces infractions étaient prescrites et l’a en conséquence libéré de ces chefs d’accusation. Le Tribunal de police a par ailleurs relevé que B.________ avait déjà été condamné le 10 mars 2022 pour être entré illégalement en Suisse en date du 23 juin 2020, de sorte qu’il convenait de le libérer de l’infraction à l’art. 115 al. 1 let. a LEI dans le cadre de la présente cause, en application du principe ne bis in idem. La condamnation de l’appelant pour accès indu à un système informatique, menaces, contrainte et tentative de contrainte est confirmée. Sa libération des chefs d’accusation de voies de fait et d’injure pour cause de prescription ne justifie pas de réduire les frais mis à sa charge en première instance, son comportement illicite pouvant être déduit de ces infractions. Il en va de même de sa libération du chef d’accusation d’entrée illégale sur le territoire suisse, qui n’a nécessité aucune instruction et n’a donc engendré aucun frais. Quant aux conclusions civiles prises par DX.________, elles n’ont engendré aucun frais non plus. C’est donc à juste titre que le premier juge a mis l’intégralité des frais de première instance à la charge de l’appelant. Ce moyen doit être rejeté.</w:t>
      </w:r>
    </w:p>
    <w:p>
      <w:r>
        <w:rPr>
          <w:b/>
        </w:rPr>
        <w:t>E. 10</w:t>
      </w:r>
    </w:p>
    <w:p>
      <w:r>
        <w:t>En définitive, l’appel de B.________ doit être partiellement admis et le jugement entrepris réformé dans le sens des considérants qui précèdent. Le défenseur d’office de l’appelant a produit en audience une liste d’opérations (P. 59) faisant état de 8 h 50 d’activité d’avocat, dont 45 minutes consacrées à l’examen du dossier et à l’opportunité de faire appel, 70 minutes à l’examen du dossier et à la rédaction de la déclaration d’appel et 2 heures à l’audience d’appel. La durée annoncée est excessive. Il y a en particulier lieu de retrancher le temps dévolu aux opérations post-audience de première instance, qui a déjà été indemnisé par le premier juge (cf. jugement, p. 22), et de ramener à 30 minutes le temps consacré à l’examen du dossier et à la rédaction de la déclaration d’appel, l’affaire étant déjà parfaitement connue du défenseur d’office et la déclaration d’appel 13J010</w:t>
      </w:r>
    </w:p>
    <w:p>
      <w:r>
        <w:t>- 28 - consistant en un simple courrier. Il y a par ailleurs lieu de prendre en compte la durée effective des débats d’appel et de retrancher 1 h 30 à ce titre. Conformément à l’art. 3bis al. 1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concurrence de 2 % des honoraires admis. C’est ainsi une indemnité de 1'304 fr. qui sera allouée à Me Samir Djaziri pour la procédure d’appel, correspondant à 5 h 55 d’activité nécessaire d’avocat au tarif horaire de 180 fr., par 1'065 fr., à des débours au taux forfaitaire de 2 %, par 21 fr. 30, à une vacation à 120 fr., et à la TVA au taux de 8,1 %, par 97 fr. 70. Me Emmanuel Hoffmann, conseil juridique gratuit de DX.________, a produit en audience une liste d’opérations (P. 60) faisant état de 8.17 heures d’activité d’avocat, d’une vacation et de débours forfaitaires à hauteur de 2 %, TVA en sus, dont 180 minutes consacrées à l’étude du dossier et 120 minutes à l’audience d’appel et aux activités futures. La durée annoncée est excessive. L’intimé n’étant concerné que par un contexte factuel limité aux menaces, dont son conseil avait déjà au demeurant parfaite connaissance, il se justifie de réduire le temps dévolu à l’étude du dossier à une heure. Il convient par ailleurs d’adapter le temps consacré à l’audience d’appel à la durée effective des débats, de 30 minutes, et d’allouer 30 minutes comme réserve pour les activités futures, soit une heure pour ce poste. L’indemnité allouée à Me Emmanuel Hoffmann pour la procédure d’appel doit ainsi être fixée à 1'155 fr. 15, montant correspondant à 5 h 10 d’activité nécessaire d’avocat au tarif horaire de 180 fr., par 930 fr., à des débours forfaitaires à hauteur de 2 %, par 18 fr. 60, à une vacation à 120 fr. et à la TVA au taux de 8,1 %, par 86 fr. 55. Vu l’issue de la cause, les frais de la procédure d’appel, par 5’389 fr. 15, constitués des émoluments de jugement et d’audience, par 2’930 fr. (art. 21 al. 1 et 2 TFIP), ainsi que des indemnités précitées, seront mis par neuf dixièmes, soit par 4’850 fr. 20, à la charge de B.________, qui 13J010</w:t>
      </w:r>
    </w:p>
    <w:p>
      <w:r>
        <w:t>- 29 - succombe dans une très large mesure (art. 428 al. 1 CPP). Le solde sera laissé à la charge de l’Etat. B.________ sera tenu de rembourser à l’Etat les neuf dixièmes des indemnités allouées à son défenseur d’office et au conseil juridique gratuit de la partie plaignante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