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PE20.019743 vom 7. Dezember 2023</w:t>
      </w:r>
    </w:p>
    <w:p>
      <w:r>
        <w:t>VD Tribunal cantonal, 2023-12-07, FR</w:t>
      </w:r>
    </w:p>
    <w:p>
      <w:r>
        <w:rPr>
          <w:b/>
        </w:rPr>
        <w:t xml:space="preserve">Quelle: </w:t>
      </w:r>
      <w:r>
        <w:t>https://mcp.opencaselaw.ch/entscheid/vd_gerichte_PE20.019743</w:t>
      </w:r>
    </w:p>
    <w:p>
      <w:r>
        <w:t>FR: VD_GERICHTE PE20.019743 du 7 décembre 2023</w:t>
      </w:r>
    </w:p>
    <w:p>
      <w:r>
        <w:t>IT: VD_GERICHTE PE20.019743 del 7 dicembre 2023</w:t>
      </w:r>
    </w:p>
    <w:p>
      <w:pPr>
        <w:pStyle w:val="Heading2"/>
      </w:pPr>
      <w:r>
        <w:t>Erwägungen</w:t>
      </w:r>
    </w:p>
    <w:p>
      <w:r>
        <w:rPr>
          <w:b/>
        </w:rPr>
        <w:t>E. 5.1</w:t>
      </w:r>
    </w:p>
    <w:p>
      <w:r>
        <w:t>En plaidant l’acquittement, A.U.________ ne conteste pas en tant que telle la peine qui lui a été infligée par le premier juge. Celle-ci doit cependant être revue d’office.</w:t>
      </w:r>
    </w:p>
    <w:p>
      <w:r>
        <w:t>- 38 -</w:t>
      </w:r>
    </w:p>
    <w:p>
      <w:r>
        <w:rPr>
          <w:b/>
        </w:rPr>
        <w:t>E. 5.2</w:t>
      </w:r>
    </w:p>
    <w:p>
      <w:r>
        <w:t>Au vu des infractions supplémentaires devant être retenus à l’encontre de A.U.________, le Ministère public estime que la quotité de la peine infligée doit être augmentée, pour atteindre une privation de liberté de 12 mois, avec sursis pendant 2 ans, ainsi qu’une amende de 5'400 fr., convertible en 54 jours de peine privative de liberté de substitution en cas de non-paiement dans le délai imparti. Cette partie appelante relève que le prévenu n'a pas hésité à porter atteinte à plusieurs reprises à l'intégrité corporelle de sa compagne de l'époque pour s'imposer face à elle et qu'il est même allé jusqu'à mettre sa vie en danger pour des futilités. En outre, on ne pourrait que déplorer la position qu'il a adoptée tout au long de la procédure pénale, n’ayant eu de cesse de minimiser sa responsabilité et de la reporter sur D.________.</w:t>
      </w:r>
    </w:p>
    <w:p>
      <w:r>
        <w:rPr>
          <w:b/>
        </w:rPr>
        <w:t>E. 5.3</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t>- 39 -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w:t>
      </w:r>
    </w:p>
    <w:p>
      <w:r>
        <w:t>- 40 - pronostic défavorable, car seul celui qui se repent de son acte mérite la confiance que l'on doit pouvoir accorder au condamné bénéficiant du sursis (TF 6B_930/2021 et 6B_938/2021 précités ; TF 6B_1403/2021 du 9 juin 2022 consid. 5.9.1 ; TF 6B_1175/2021 précité).</w:t>
      </w:r>
    </w:p>
    <w:p>
      <w:r>
        <w:rPr>
          <w:b/>
        </w:rPr>
        <w:t>E. 5.4</w:t>
      </w:r>
    </w:p>
    <w:p>
      <w:r>
        <w:t>Le tribunal de police a considéré que la culpabilité de A.U.________ n’était pas négligeable. Celui-ci avait, durant plusieurs mois, imposé à sa compagne son point de vue et sa vision des choses, en usant de violences verbales, psychologiques et physiques. Il avait également jeté le discrédit sur D.________ en la rabaissant et en la dénigrant. Le premier juge a également souligné l’aspect problématique du comportement de l’appelant, lequel était, en tant que policier, sensibilisé aux conséquences de la violence domestique et mieux placé que quiconque pour connaître les lois pénales. A décharge, le tribunal de première instance a pris en considération le jeune âge de A.U.________ au moment des faits et son manque d’expérience dans la gestion d’une relation de couple. Au vu des éléments figurant ci-dessus, la peine de l’appelant doit toutefois être revue à la hausse. La culpabilité de A.U.________ est en effet importante. Il n’a pas hésité à adopter un comportement gratuitement violent envers sa compagne, comprenant des saisies au niveau du cou. L’attitude de l’appelant a eu, et a toujours, des répercussions majeures sur la vie de la victime, tel que cela ressort du rapport du Dr [...] du 1e décembre 2020 et des déclarations de ce praticien aux débats (cf. jugement, pp. 17 et 18) (état de stress post-traumatique et idées suicidaires notamment). Il ressort par ailleurs du rapport du CURML du 2 mars 2021 que D.________ était en pleurs au moment de parler de son état de santé psychologique. Cette émotion a d’ailleurs manifestement accompagné l’intéressée tout au long de la procédure, celle-ci pleurant régulièrement à l’évocation des faits (cf. PV aud. 2 et débats de première instance). A.U.________ n’a par ailleurs pas eu de scrupules à demander à un tiers de lui fournir des informations qu’il savait confidentielles, pour des motifs futiles. Sur ces différents aspects, l’appelant aurait d’autant plus dû, en qualité de (aspirant-)policier sensibilisé aux deux problématiques,</w:t>
      </w:r>
    </w:p>
    <w:p>
      <w:r>
        <w:t>- 41 - adopter un comportement irréprochable. Aux débats d’appel, l’intéressé ne semblait pas avoir particulièrement avancé sur le chemin de la prise de conscience de l’aspect problématique de ses traits de caractères, puisqu’il a été dans l’impossibilité d’expliquer à la Cour de céans ce qu’il avait corrigé dans son comportement, prétendant pourtant l’avoir fait. Au vu des faits retenus et pour des motifs de prévention spéciale, seule une peine privative de liberté est envisageable. Les lésions corporelles simples qualifiées – infraction la plus grave – justifient une quotité de peine de 150 jours, peine qui doit être augmentée de 60 jours par l’effet du concours avec la contrainte et de 30 jours encore pour l’instigation à violation du secret de fonction. Au final, c’est une peine privative de liberté de huit mois qui doit être prononcée. En ce qui concerne la question du sursis, on constate que A.U.________ n’a pas d’antécédents pénaux. En l’état, il n’apparaît pas qu’un pronostic défavorable puisse être retenu. L’intéressé pourra dès lors bénéficier du sursis à l’exécution de sa peine. Il n’apparaît pas nécessaire d’infliger en sus une amende à titre de sanction immédiate.</w:t>
      </w:r>
    </w:p>
    <w:p>
      <w:r>
        <w:rPr>
          <w:b/>
        </w:rPr>
        <w:t>E. 6</w:t>
      </w:r>
    </w:p>
    <w:p>
      <w:r>
        <w:t>Au vu de ce qui précède, et compte tenu du fait que l’appelant est condamné pour les cas 8 et 9 par le jeu de la qualification juridique des faits, il n’y a pas lieu de modifier la répartition des frais et indemnité de première instance.</w:t>
      </w:r>
    </w:p>
    <w:p>
      <w:r>
        <w:rPr>
          <w:b/>
        </w:rPr>
        <w:t>E. 7</w:t>
      </w:r>
    </w:p>
    <w:p>
      <w:r>
        <w:t>En définitive, l’appel de A.U.________ doit être rejeté, l’appel du Ministère public partiellement admis et le jugement entrepris réformé dans le sens des considérants. Vu l’issue de la cause, les frais de la procédure d’appel, par 4'000 fr., constitués des émoluments de jugement et d’audience (art. 21 al. 1 et 2 TFIP), sont mis par trois quarts à la charge de A.U.________, soit par 3'000 fr., le solde, par 1'000 fr., étant laissé à la charge de l’Etat, compte tenu du rejet partiel de l’appel du Ministère public (art. 428 al. 1 CPP).</w:t>
      </w:r>
    </w:p>
    <w:p>
      <w:r>
        <w:t>- 42 - Le fait que A.U.________ ait obtenu partiellement gain de cause compte tenu du rejet partiel de l’appel du Ministère public ouvre le droit à une indemnité pour les dépenses occasionnées par l’exercice raisonnable de ses droits dans le cadre de la procédure d’appel (art. 429 al. 1 let. a CPP, applicable par renvoi de l’art. 436 al. 1 CPP). Sur la base de la liste des opérations produite, augmentée du temps d’audience devant la Cour de céans, le montant réclamé doit être réduit de trois quart pour tenir compte du parallélisme entre le sort des frais et des indemnités (l’art. 430 al. 1 let. a CPP étant le pendant de l'art. 426 al. 2 CPP). L’indemnité allouée pour la procédure d’appel sera ainsi arrêtée à 2’760 fr., à la charge de l’Etat. Conformément à l’art. 429 al. 3 CPP, A.U.________ ayant procédé avec l’assistance d’un défenseur de choix, Me Jean-Samuel Leuba a un droit exclusif à l’indemnité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