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PE20.019734 vom 7. April 2022</w:t>
      </w:r>
    </w:p>
    <w:p>
      <w:r>
        <w:t>VD Tribunal cantonal, 2022-04-07, FR</w:t>
      </w:r>
    </w:p>
    <w:p>
      <w:r>
        <w:rPr>
          <w:b/>
        </w:rPr>
        <w:t xml:space="preserve">Quelle: </w:t>
      </w:r>
      <w:r>
        <w:t>https://mcp.opencaselaw.ch/entscheid/vd_gerichte_PE20.019734</w:t>
      </w:r>
    </w:p>
    <w:p>
      <w:r>
        <w:t>FR: VD_GERICHTE PE20.019734 du 7 avril 2022</w:t>
      </w:r>
    </w:p>
    <w:p>
      <w:r>
        <w:t>IT: VD_GERICHTE PE20.019734 del 7 aprile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w:t>
      </w:r>
    </w:p>
    <w:p>
      <w:r>
        <w:t>- 5 - Kuhn/Jeanneret/Perrier Depeursinge [édit.], Commentaire romand, Code de procédure pénale suisse (ci-après : CR-CPP), Bâle 2019, n. 5 ad art. 356 CPP ; Riklin, in : Niggli/Heer/Wiprächtiger [édit.], Basler Kommentar, Schweizerische Strafprozessordnung, Jugendstrafprozess-ordnung, 2e éd., Bâle 2014, n. 2 ad art. 356 CPP ; CREP 16 décembre 2021/1145 et réf. cit.).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d’J.________ est recevable.</w:t>
      </w:r>
    </w:p>
    <w:p>
      <w:r>
        <w:rPr>
          <w:b/>
        </w:rPr>
        <w:t>E. 2.1</w:t>
      </w:r>
    </w:p>
    <w:p>
      <w:r>
        <w:t>Le recourant conteste la validité de la notification de l’ordonnance pénale du 1er février 2021. Il fait valoir qu’il aurait fourni une adresse à la demande de la police, que W.________ ne serait qu’une connaissance, qu’elle ne serait ni membre de sa famille ni un proche, qu’il n’aurait jamais donné de procuration à cette personne pour recevoir des plis recommandés au guichet de la poste, que la poste aurait commis une erreur en considérant W.________ comme la destinataire du pli recommandé et que les conditions de l’art. 85 al. 3 CPP ne seraient donc pas remplies.</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w:t>
      </w:r>
    </w:p>
    <w:p>
      <w:r>
        <w:t>- 6 -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En vertu de l'art. 87 al. 1 CPP, toute communication doit être notifiée au domicile, au lieu de résidence habituelle ou au siège du destinataire. Cette disposition n’exclut pas que la partie fasse suivre son courrier, désigne un représentant ou indique une adresse de notification (ATF 146 IV 30 consid. 1.1.2 ; ATF 141 II 429 consid. 3.1 ; ATF 139 IV 228 consid. 1.1). Dès lors que le destinataire d’un acte a le droit d'indiquer une autre adresse de notification que son domicile ou sa résidence habituelle, il a le droit que les notifications se fassent à l'adresse communiquée, faute de rendre celles-ci irrégulières (ATF 139 IV 228 précité, consid. 1.2 et 1.3).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2.3</w:t>
      </w:r>
    </w:p>
    <w:p>
      <w:r>
        <w:t>En l’espèce, l’ordonnance pénale du 1er février 2021 a été envoyée pour notification au recourant le même jour sous pli recommandé à l’adresse qu’il avait communiquée à la police lors de son audition du 15 août 2020. A cette occasion, le recourant avait été dûment informé de ses</w:t>
      </w:r>
    </w:p>
    <w:p>
      <w:r>
        <w:t>- 7 - droits et obligations de prévenu et avait apposé sa signature sur le formulaire idoine qui l’informait de l’existence d’une instruction pénale ouverte à son encontre et qui mentionnait comme domicile « [...], c/o W.________ » (P. 4), de sorte que le recourant devait s’attendre à recevoir des actes judiciaires en lien avec cette enquête à l’adresse qu’il avait indiquée. En l’occurrence, force est de constater que la notification a bien eu lieu à cette adresse et que la personne mentionnée par le recourant, soit W.________, est bien celle qui est allée chercher le pli à la poste le 3 février 2021 (P. 21). Conformément à la jurisprudence du Tribunal fédéral rappelée ci-avant, le Ministère public était tenu de notifier l’ordonnance pénale à l’adressée indiquée et voulue par le recourant, à défaut de quoi la notification aurait été irrégulière. La jurisprudence ne laissant aucun choix à l’autorité pénale qui doit respecter la volonté du prévenu, la notification devait intervenir au lieu choisi par celui-ci. De plus, le recourant admet lui- même connaître W.________, ce qui suffit à établir que l’adresse donnée par ses soins lors de son audition devait être utilisée. Enfin, la question de savoir si la Poste pouvait remettre l’ordonnance pénale à la personne auprès de laquelle le recourant avait élu domicile de notification relève des arrangements internes convenus entre eux ainsi que le cas échéant des exigences imposées par le service postal, mais du point de vue de la procédure pénale, il n’est pas contestable que le pli a bien été remis à la personne mentionnée par le recourant auprès de l’autorité pénale comme étant susceptible de recevoir les correspondances, les avis de procédure ou les décisions concernant l’enquête en cours lui étant destinés. Peu importe que la remise du pli ait lieu directement à l’adresse de la personne ou, comme en l’espèce, au guichet postal. Quant au fait que le recourant n’aurait plus habité à l’adresse qu’il avait indiquée, mais en Italie ou auprès de sa fiancée à Genève, il est sans portée. A supposer que le domicile de notification indiqué par le recourant n’était plus d’actualité – ce qui ne repose que sur ses propres dires –, il lui incombait d’en informer l’autorité, de faire suivre son courrier ou de faire en sorte que celui-ci lui parvienne d’une autre manière. Or, en</w:t>
      </w:r>
    </w:p>
    <w:p>
      <w:r>
        <w:t>- 8 - l’espèce, le recourant n’allègue pas ni a fortiori n’établit avoir pris de telles mesures. Au vu de ce qui précède, l’ordonnance pénale du 1er février 2021 a été notifiée valablement le 3 février 2021, de sorte que l’opposition formée le 22 mars 2022 par le recourant est manifestement tardive. C’est donc à bon droit que le premier juge l’a déclarée irrecevable.</w:t>
      </w:r>
    </w:p>
    <w:p>
      <w:r>
        <w:rPr>
          <w:b/>
        </w:rPr>
        <w:t>E. 3</w:t>
      </w:r>
    </w:p>
    <w:p>
      <w:r>
        <w:t>En définitive, le recours interjeté par J.________ doit être rejeté, sans autre échange d’écritures (art. 390 al. 2 CPP). Les frais de la procédure de recours, constitués du seul émolument d’arrêt, par 880 fr. (art. 20 al. 1 TFIP [Tarif des frais de procédure et indemnités en matière pénale du 28 septembre 2010 ; BLV 312.03.1]), seront mis à la charge d’J.________, qui succombe (art. 428 al. 1, 2e phr. CPP). Par ces motifs, la Chambre des recours pénale prononce : I. Le recours est rejeté. II. Le prononcé du 25 mars 2022 et confirmé. III. Les frais d’arrêt, par 880 fr. (huit cent huitante francs), sont mis à la charge d’J.________. IV. L’arrêt est exécutoire. La présidente : La greffière : Du</w:t>
      </w:r>
    </w:p>
    <w:p>
      <w:r>
        <w:t>- 9 - Le présent arrêt, dont la rédaction a été approuvée à huis clos, est notifié, par l'envoi d'une copie complète, à : - Me Hüsnü Yilmaz, avocat (pour J.________), - Ministère public central, et communiqué à : - M. le Président du Tribunal de police de l’arrondissement de Lausanne, - Mme la Procureure de l’arrondissement de Lausanne, - Prison de la Croisée, - Office d’exécution des peines (J.________, né le [...]1993), - Service de la population, division étrangers, - Secrétariat d’Etat aux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