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PE20.019691 vom 28. September 2023</w:t>
      </w:r>
    </w:p>
    <w:p>
      <w:r>
        <w:t>VD Tribunal cantonal, 2023-09-28, FR</w:t>
      </w:r>
    </w:p>
    <w:p>
      <w:r>
        <w:rPr>
          <w:b/>
        </w:rPr>
        <w:t xml:space="preserve">Quelle: </w:t>
      </w:r>
      <w:r>
        <w:t>https://mcp.opencaselaw.ch/entscheid/vd_gerichte_PE20.019691</w:t>
      </w:r>
    </w:p>
    <w:p>
      <w:r>
        <w:t>FR: VD_GERICHTE PE20.019691 du 28 septembre 2023</w:t>
      </w:r>
    </w:p>
    <w:p>
      <w:r>
        <w:t>IT: VD_GERICHTE PE20.019691 del 28 settembre 2023</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Le recours doit être adressé par écrit, dans un délai de dix jours dès la notification de la décision attaquée (art. 384 let. b et 396 al. 1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w:t>
      </w:r>
    </w:p>
    <w:p>
      <w:r>
        <w:t>- 5 - indiquer dans quelle mesure et sous quel angle il entend critiquer l’établissement des faits ou l’application du droit (Calame, Commentaire romand, Code de procédure pénale suisse, 2e éd., Bâle 2019, n. 20 ad art. 385 CPP).</w:t>
      </w:r>
    </w:p>
    <w:p>
      <w:r>
        <w:rPr>
          <w:b/>
        </w:rPr>
        <w:t>E. 1.3</w:t>
      </w:r>
    </w:p>
    <w:p>
      <w:r>
        <w:t>En l’espèce, la décision entreprise a été rendue le 17 avril 2023. Elle contenait les voies de droit, indiquant un délai de recours de 10 jours dès la notification ou la communication de la décision contestée en application des art. 393 ss CPP. Selon le suivi des envois postaux, cette décision a été notifiée à la recourante le 18 avril 2023. Dans ces circonstances, le recours déposé le 29 juin 2023 est manifestement tardif et doit être déclaré irrecevable pour ce motif déjà. Même s’il avait été déposé en temps utile, on constate que le recours ne satisfaisait pas aux exigences de motivation de l’art. 385 al. 1 CPP. En effet, la recourante ne discute pas, même brièvement, les considérants de la décision litigieuse et ne formule aucune conclusion. Elle se contente de présenter sa propre version des faits, sans essayer de contester la motivation de l’ordonnance. Elle ne démontre pas non plus en quoi le Procureur général aurait mal appliqué la loi. Le recours doit par conséquent être déclaré irrecevable pour ce motif également.</w:t>
      </w:r>
    </w:p>
    <w:p>
      <w:r>
        <w:rPr>
          <w:b/>
        </w:rPr>
        <w:t>E. 2</w:t>
      </w:r>
    </w:p>
    <w:p>
      <w:r>
        <w:t>En définitive, le recours déposé par S.________ contre la décision du 17 avril 2023 du Procureur général doit être déclaré irrecevable, sans échange d’écritures (art. 390 al. 2 CPP). Les frais de la procédure de recours, constitués en l’espèce du seul émolument d'arrêt, par 550 fr., (art. 20 al. 1 TFIP [tarif des frais de procédure et indemnités en matière pénale du 28 septembre 2010 ; BLV 312.03.1]), seront exceptionnellement laissés à la charge de l’Etat.</w:t>
      </w:r>
    </w:p>
    <w:p>
      <w:r>
        <w:t>- 6 - Par ces motifs, la Chambre des recours pénale prononce : I. Le recours est irrecevable. II. Les frais d’arrêt, par 550 fr. (cinq cent cinquante francs), sont laissés à la charge de l’Etat. III. L’arrêt est exécutoire. La présidente : La greffière :</w:t>
      </w:r>
    </w:p>
    <w:p>
      <w:r>
        <w:t>- 7 - Du Le présent arrêt, dont la rédaction a été approuvée à huis clos, est notifié, par l'envoi d'une copie complète, à : - Mme 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