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PE20.019640 vom 10. Mai 2023</w:t>
      </w:r>
    </w:p>
    <w:p>
      <w:r>
        <w:t>VD Tribunal cantonal, 2023-05-10, FR</w:t>
      </w:r>
    </w:p>
    <w:p>
      <w:r>
        <w:rPr>
          <w:b/>
        </w:rPr>
        <w:t xml:space="preserve">Quelle: </w:t>
      </w:r>
      <w:r>
        <w:t>https://mcp.opencaselaw.ch/entscheid/vd_gerichte_PE20.019640</w:t>
      </w:r>
    </w:p>
    <w:p>
      <w:r>
        <w:t>FR: VD_GERICHTE PE20.019640 du 10 mai 2023</w:t>
      </w:r>
    </w:p>
    <w:p>
      <w:r>
        <w:t>IT: VD_GERICHTE PE20.019640 del 10 maggio 2023</w:t>
      </w:r>
    </w:p>
    <w:p>
      <w:pPr>
        <w:pStyle w:val="Heading2"/>
      </w:pPr>
      <w:r>
        <w:t>Erwägungen</w:t>
      </w:r>
    </w:p>
    <w:p>
      <w:r>
        <w:rPr>
          <w:b/>
        </w:rPr>
        <w:t>E. 19</w:t>
      </w:r>
    </w:p>
    <w:p>
      <w:r>
        <w:t>février 2013 et que dans leur constat, les médecins avaient fait état d’ecchymoses, l’intéressée s’étant encore plainte de douleurs au crâne et à la nuque. En outre, le Centre Malley-Prairie avait également attesté d’un séjour de Z.________ du 17 au 28 février 2013 ainsi que du 19 septembre au 7 novembre 2017. Enfin, durant l’instruction […], assistant social auprès du Centre LAVI entendu comme témoin avait précisé que Z.________ s’était rendue auprès du Centre LAVI le 21 février 2013 pour des violences conjugales, qu’elle s’était encore adressée à ce centre le 27 février 2017 et qu’elle avait fait état de violences verbales et de voies de fait (gifles et coups de poings) entre 2013 et 2017 ; ce témoin a enfin déclaré qu’il y avait eu 37 séances avec une psychologue et qu’il s’agissait d’un cas rare et très long. Au vu de ces éléments, le premier juge est arrivé à la conclusion que l’intimée s’était plainte de violences conjugales depuis 2013, soit bien avant la naissance des enfants, que ce n’était toutefois qu’en 2019, soit deux ans après la séparation qu’elle avait agi sur le plan pénal parce qu’elle n’en pouvait plus, pensant que cette démarche allait avoir un effet « contenant » sur N.________. A ces constatations s’ajoutent encore un rapport de la psychologue [...] du 13 avril 2020 (P. 24/2), qui fait notamment état de troubles de stress post-traumatique et de symptômes envahissants chez sa patiente Z.________. Pour toutes ces raisons, avec le premier juge, il n’y a aucune raison de douter de la sincérité de la partie plaignante dont on ne décèle, de surcroît, aucun dessein de nuire à l’appelant, le dépôt de plainte étant largement postérieur aux premières violences conjugales attestées par des tiers neutres. On ne discerne aucune violation de l’art. 10 al. 3 CPP. Mal fondé, ce moyen doit être rejeté. 5.</w:t>
      </w:r>
    </w:p>
    <w:p>
      <w:r>
        <w:t>- 25 - 5.1 L’appelant conteste ensuite avoir adopté une attitude menaçante au sens de l’art. 180 CP (cf. let. Cc1c ci-dessus). Il rappelle qu’il a toujours contesté avoir proféré les menaces reprochées et il met en avant plusieurs éléments qui, selon lui, devraient mettre en doute la parole de la plaignante. Il rappelle ainsi que les prétendues menaces ne font pas l’objet de la plainte pénale déposée le 6 septembre 2019 par Z.________ mais ressortent de la plainte complémentaire déposée cinq mois plus tard, que le rapport des policiers intervenus ne fait pas mention de menaces, mais indique uniquement un litige verbal entre la plaignante et son mari. Il estime que ces éléments montrent que les déclarations de l’intimée ne sont pas crédibles. Il fait ensuite valoir que le témoignage de [...], soit la mère de la plaignante doit être traité avec circonspection en raison du lien de parenté existant. S’agissant de ce témoignage, il relève que les menaces décrites n’auraient en tout cas pas été proférées à l’égard de la plaignante, mais de sa mère directement, de sorte que Z.________ ne saurait être considérée comme lésée. Enfin, il déduit du fait que [...] n’a pas déposé plainte que celle-ci n’a pas été effrayée par les propos ainsi relayés ; il en irait de même s’agissant de la plaignante qui aurait fait figurer ces faits sans sa plainte dans l’unique but de donner de la substance à ses accusations. 5.2 L’art. 180 CP dispose que celui qui, par une menace grave, aura alarmé ou effrayé une personne sera, sur plainte, puni d’une peine privative de liberté de trois ans au plus ou d’une peine pécuniaire (al. 1). La poursuite aura lieu d’office si l’auteur est le conjoint de la victime et que la menace a été commise durant le mariage ou dans l’année qui a suivi le divorce (al. 2 let. a). Sur le plan objectif, l’art. 180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 TF 6B_578/2016 du 19 août 2016 consid 2.1).</w:t>
      </w:r>
    </w:p>
    <w:p>
      <w:r>
        <w:t>- 26 -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 tltl rapportées de manière indirecte par un tiers. Elle doit craindre que le préjudice annoncé se réalise (TF 6B_578/2016 précité consid. 2.1 ; TF 6B_871/2014 du 24 août 2015 consid. 2.2.2 ; TF 6B_820/2011 du 5 mars 2012 consid. 3). 5.3 En l’espèce, comme on l’a déjà dit, il n’y a pas de raison de douter des déclarations de la plaignante, qui sont, pour ce cas, corroborées par celles de sa mère. S’agissant du destinataire des menaces, l’argument de l’appelant n’est pas pertinent. En effet, il a déclaré à la mère de la plaignante : « pousse-toi je vais te tuer toi ton mari et toute ta famille et brûler ta maison » (PV aud. 2 p. 2). Il est donc question de menaces concernant toute la famille de la plaignante, celle-ci compris. Enfin, il n’y a aucun doute sur le fait que Z.________ a été effrayée par cette menace puisqu’elle a immédiatement fait appel à la police. Au vu de ce qui précède on ne discerne aucune violation des art. 10 al. 3 CPP et 180 CP, de sorte que le moyen doit être rejeté. 6. 6.1 Dans un quatrième moyen, l’appelant conteste avoir eu un comportement contraignant par « stalking » (cf. let. Cc2 ci-dessus). Il fait valoir en substance que la séparation des parties et la proximité de leurs logements expliqueraient qu’elles aient eu des contacts. De même, depuis leur séparation, les parties avaient principalement communiqué par messages sms ou par courriels pour régler les contingences liées à leur séparation. Ainsi, selon lui, les messages qu’il a adressés à Z.________ constituaient en réalité des démarches légitimes concernant ses filles. Il relève encore que la plaignante ne le supporterait plus au point que tous ses comportements, même les plus légitimes, constitueraient un « acte de violence » à son égard. Enfin, l’appelant relève que l’acte d’accusation ne</w:t>
      </w:r>
    </w:p>
    <w:p>
      <w:r>
        <w:t>- 27 - dit pas que le comportement qu’on lui impute aurait contraint sa victime à changer de mode de vie. 6.2 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Lorsque la victime ne se laisse pas intimider et n'adopte pas le comportement voulu par l'auteur, ce dernier est punissable de tentative de contrainte (art. 22 al. 1 CP ; ATF 129 IV 262 consid. 2.7 ; ATF 106 IV 125 consid. 2b). Outre l'usage de la violence (hypothèse 1) ou de menaces laissant craindre la survenance d'un dommage sérieux (hypothèse 2), il peut également y avoir contrainte lorsque l'auteur entrave sa victime « de quelque autre manière » dans sa liberté d'action (hypothèse 3).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Lorsque l'auteur importune la victime de manière répétée durant une période prolongée, chaque acte devient, au fil du temps, susceptible de déployer, sur la liberté d'action de la victime, un effet d'entrave comparable à celui de la violence ou de la menace (au sujet de la notion de « stalking » ou de harcèlement obsessionnel, cf. ATF 141 IV 437 et 129 IV 262 consid. 2.3 à 2.5). Toutefois, en l'absence d'une norme spécifique réprimant de tels faits en tant qu'ensemble d'actes formant une unité, l'art. 181 CP suppose, d'une part, que le comportement incriminé oblige la victime à agir, à tolérer ou à omettre un acte et, d'autre part, que</w:t>
      </w:r>
    </w:p>
    <w:p>
      <w:r>
        <w:t>- 28 - cela puisse être appréhendé comme le résultat d'un comportement de contrainte plus précisément circonscrit (ATF 129 IV 262 consid. 2.4). Selon la jurisprudence,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(ATF 129 IV 262 consid. 2.4), l'intensité requise par l'art. 181 CP peut néanmoins résulter du cumul de comportements divers ou de la répétition de comportements identiques sur une durée prolongée (ATF 141 IV 437 consid. 3.2.2). La contrainte n'est contraire au droit que si elle est illicite (ATF 120 IV 17 consid. 2a et les arrêts cités), soit parce que le moyen utilisé ou le but poursuivi est contraire au droit, soit parce que le moyen est disproportionné pour atteindre le but visé, soit encore parce qu'un moyen conforme au droit utilisé pour atteindre un but légitime constitue, au vu des circonstances, un moyen de pression abusif ou contraire aux mœurs (ATF 137 IV 326 consid. 3.3.1 ; ATF 134 IV 216 consid. 4.1). Savoir si la restriction de la liberté d'action constitue une contrainte illicite dépend ainsi de l'ampleur de l'entrave, de la nature des moyens employés à la réaliser et des objectifs visés par l'auteur (ATF 129 IV 262 consid 2.1 ; ATF 129 IV 6 consid 3.4). Un moyen de contrainte doit être taxé d'abusif ou de contraire aux mœurs lorsqu'il permet d'obtenir un avantage indu (ATF 120 IV 17 consid. 2a/bb ; ATF 106 IV 125 consid 3a). Ainsi, est contraire aux mœurs le but poursuivi par un époux qui contraint son épouse à rejoindre le domicile conjugal, contre sa volonté et sans égard à son droit éventuel à vivre séparée (ATF 101 IV 42 consid. 3). La contrainte constitue un délit matériel. Ainsi, les moyens de contrainte utilisés à l'endroit d'une personne doivent avoir obligé cette dernière à faire, à ne pas faire ou à laisser faire un acte (ATF 101 IV 167 consid. 3). La liberté d'action de la victime n'est pas seulement atteinte lorsque le champ de ses options est réduit, mais aussi lorsque l'auteur</w:t>
      </w:r>
    </w:p>
    <w:p>
      <w:r>
        <w:t>- 29 - s'assure, par la contrainte, des possibilités qu'il n'aurait pas sans cela. C'est pourquoi l'époux qui veut que son épouse rentre au domicile conjugal alors qu'elle ne le souhaite pas et, à cette fin, la saisit pour l'amener à la station de tram, se rend coupable de contrainte, indépendamment du fait que l'épouse soit finalement montée volontairement dans le tramway et se soit rendue au domicile conjugal où aucune autre violence n'a été à déplorer (ATF 101 IV 42). C'est pourquoi l'époux qui veut que son épouse rentre au domicile conjugal alors qu'elle ne le souhaite pas et, à cette fin, la saisit pour l'amener à la station de tram, se rend coupable de contrainte. 6.3 En l’occurrence, Le nombre de messages adressés par N.________ à la plaignante et la teneur de certains de ceux-ci montrent une forme claire de harcèlement. On peut en déduire que celui-ci entendait contrôler et vérifier constamment les actes de son épouse, voulant en particulier savoir où elle était, ce qu’elle faisait et qui elle voyait. L’appelant se trompe lorsqu’il soutient que l’acte d’accusation ne dit pas que son comportement a contraint Z.________ à changer de mode de vie. En effet, l’acte d’accusation retient que la plaignante a changé ses habitudes et pris des précautions supplémentaires pour assurer sa sécurité, comme le fait de faire remplacer les cylindres de la porte palière et ceux de la boîte aux lettres. Aux débats d’appel, Z.________ a encore indiqué qu’elle avait bloqué N.________ sur WhatsApp et qu’elle avait réactivé la procédure civile. Elle a confirmé qu’elle avait changé les serrures de la boîte aux lettres car l’appelant volait son courrier, qu’elle évitait certaines rues et qu’elle avait intensifié son suivi psychologique. Les dispositions ainsi prises démontrent bien que la plaignante a dû modifier ses habitudes en raison du harcèlement qu’elle subissait de la part de l’appelant. L’art. 181 CP s’applique. Mal fondé, le moyen doit être rejeté. 7.</w:t>
      </w:r>
    </w:p>
    <w:p>
      <w:r>
        <w:t>- 30 - 7.1 L’appelant conteste avoir tenu des propos diffamatoires à l’encontre de la plaignante (cf. let. Cb 1 et 2 ci-dessus). Il fait en particulier plaider qu’il ne savait pas à quel point les directives de l’OFSP (Office fédéral de la santé publique) devaient être respectées ou, à tout le moins, reproche au premier juge de ne pas l’avoir mentionné. Il explique qu’il a simplement indiqué les personnes avec qui elle avait été en contact, soit auprès du médecin cantonal ou de la police, que Z.________ avait un compagnon et que celui-ci avait passé du temps avec elle en période d’incubation ou de contamination et qu’il s’agissait de le mettre en quarantaine. Selon lui, le fait de dire que Z.________ aurait un compagnon n’est pas diffamatoire, les parties étant séparées au moment des faits ; par ailleurs le fait de demander à une autorité si celle-ci a bien examiné tous les faits pertinents n’est pas non plus diffamant. 7.2 7.2.1 Aux termes de l'art. 173 CP,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w:t>
      </w:r>
    </w:p>
    <w:p>
      <w:r>
        <w:t>- 31 - personne visée au mépris en sa qualité d'homme (ATF 137 IV 313 consid. 2.1.1; ATF 132 IV 112 consid. 2.1). 7.2.2 La loi prévoit la possibilité pour une personne accusée de diffamation d’apporter des preuves libératoires qui excluent sa condamnation. Ainsi, selon l’art. 173 ch. 2 CP, l'inculpé n'encourra aucune peine s'il prouve que les allégations qu'il a articulées ou propagées sont conformes à la vérité (preuve de la vérité) ou qu'il avait des raisons sérieuses de les tenir de bonne foi pour vraies (preuve de la bonne foi). Le juge doit examiner d'office si les conditions d'admission à la preuve libératoire sont remplies ; il faut toutefois préciser que l'admission à la preuve constitue la règle (Corboz, Les infractions en droit suisse, vol. I, 3e éd., Berne 2010, n. 54 ad art. 173 CP). Cette possibilité doit être refusée au prévenu lorsqu'il n'avait pas de motif suffisant pour proférer ses allégations injurieuses, d'une part, et qu'il a agi principalement dans le dessein de dire du mal d'autrui, d'autre part ; ces deux conditions sont cumulatives (art. 173 ch. 3 CP). L'existence d'un motif suffisant est plus difficilement admise lorsque le fait touche à la vie privée ou à la vie de famille, comme cela résulte de la formulation de l'art. 173 ch. 3 in fine CP. Elle n'est cependant pas d'emblée exclue. Si l'auteur a un motif suffisant, même s'il ne s'agit pas du motif unique ou prépondérant de sa communication, il doit être admis à la preuve libératoire ; il suffit qu'il ne soit pas qu'un prétexte (ATF 82 IV 98, JdT 1956 IV 142; Corboz, op. cit., p. 593). La preuve de la vérité est apportée si tous les éléments essentiels de l'allégation sont établis ; des exagérations bénignes, soit qui apparaissent proportionnellement sans importance, restent sans conséquence (ATF 102 IV 176, JdT 1978 IV 12; Corboz, op. cit., n. 71 ad art. 173 CP). 7.3 En l’occurrence, N.________, comme quiconque, savait pertinemment qu’à cette époque l’isolement état de mise et que la personne infectée devait fournir aux autorités sanitaires compétentes la liste de celles avec lesquelles elle avait été en contact de manière à rompre la chaîne de contamination. La preuve que l’appelant le savait c’est qu’il a précisément alerté les autorités en affirmant, faussement, que la plaignante n’avait pas suivi ces directives. L’Ordonnance COVID-19</w:t>
      </w:r>
    </w:p>
    <w:p>
      <w:r>
        <w:t>- 32 - situation particulière (Ordonnance sur les mesures destinées à lutter contre l’épidémie de COVID-19 en situation particulière, dans sa version au 23 juin 2021 ; RS 818 101 26), comportait à son article 28 des dispositions pénales pour quiconque ne respectait pas ces directives. En d’autres termes, l’appelant a faussement accusé la plaignante d’avoir commis une infraction, ce qui est propre à jeter sur elle le soupçon d’être une personne méprisable. Le dessein de nuire est évident. En effet, N.________ a d’abord accusé faussement son épouse auprès des autorités sanitaires compétentes, puis il a doublé sa dénonciation d’un appel à la police. L’appel à la police exclut le « mobile sanitaire » qu’il invoque. Le dessin de nuire fermant la possibilité au diffamant d’apporter des preuves libératoires (cf. consid. 7.2.2 supra), la Cour de céans renoncera à examiner cette question. Mal fondé, le moyen doit être rejeté. 8. 8.1 Dans un dernier moyen, l’appelant conteste le montant du tort moral alloué à Z.________. Il considère que les pièces produites par cette dernière ne permettraient pas de retenir l’existence d’une atteinte, ni de fonder le versement d’un montant aussi élevé. 8.2 Aux termes de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w:t>
      </w:r>
    </w:p>
    <w:p>
      <w:r>
        <w:t>- 33 - d'argent, échappe à toute fixation selon des critères mathématiques, de sorte que son évaluation en chiffres ne saurait excéder certaines limites. L'indemnité allouée doit toutefois être équitable (ATF 143 IV 339 consid. 3.1 et les références citées ; TF 6B_242/2019 du 18 mars 2019 consid. 2.1). 8.3 En l’espèce, le premier juge a alloué à Z.________ une indemnité pour tort moral d’un montant de 6'000 francs. Il a rappelé que celle-ci avait souffert des agissements de son époux, lesquels avaient entraîné des conséquences néfastes sur son état de santé physique et psychique, ce qui ressortait notamment du rapport de la psychologue [...] du 13 avril 2020 (P. 24/2) qui faisait état de troubles de stress post- traumatique et de symptômes envahissants. Cette appréciation peut être confirmée. En effet, les faits retenus à l’encontre de l’appelant montre qu’il a fait vivre un véritable enfer à son épouse durant plusieurs années. La plaignante est encore atteinte aujourd’hui dans sa santé. Au vu de ce qui précède, l’indemnité pour tort moral d’un montant de 6'000 fr. allouée par le premier juge à Z.________ ne prête pas le flanc à la critique. 9. 9.1 L’appelant ne conteste pas la peine en tant que telle, dès lors qu’il conclut à son acquittement. Celle-ci sera toutefois examinée d’office. 9.2 9.2.1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- 34 -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 9.2.2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w:t>
      </w:r>
    </w:p>
    <w:p>
      <w:r>
        <w:t>- 35 -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142 IV 265 consid. 2.3.2 ; ATF 138 IV 120 consid. 5.2). Que les dispositions pénales applicables prévoient abstraitement des peines de même genre ne suffit pas (ATF 144 IV 313 précité consid. 1.1.1 ; ATF 144 IV 217 consid. 2.2 ; ATF 138 IV 120 précité consid. 5.2). Si les sanctions envisagées concrètement ne sont pas du même genre, elles doivent être prononcées cumulativement (ATF 144 IV 313 précité consid. 1.1 ; ATF 142 IV 265 précité consid. 2.3.2 ; ATF 138 IV 120 précité consid. 5.2 ; ATF 137 IV 57 consid. 4.3.1). La peine privative de liberté et la peine pécuniaire ne sont pas des sanctions du même genre (ATF 144 IV 313 précité consid. 1.1 ; ATF 144 IV 217 précité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 citées ; TF 6B_144/2019 du 17 mai 2019 consid. 4.3.1). 9.2.3 Selon l’art. 42 al. 1 CP, le juge suspend en règle générale l’exécution d’une peine pécuniaire, d’un travail d’intérêt général ou d’une peine privative de liberté de six mois au moins et de deux ans au plus</w:t>
      </w:r>
    </w:p>
    <w:p>
      <w:r>
        <w:t>- 36 -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consid. 3.1.2 ; ATF 134 IV I consid. 4.2.2). 9.3 En l’occurrence, la culpabilité de N.________ est lourde. On retiendra à charge qu’il est dans le déni le plus complet ainsi que ses antécédents. Il a déjà été condamné par le passé pour le même type d’infraction. A l’instar du premier juge, on ne discerne aucun élément à décharge. La peine à prononcer est partiellement complémentaire à la peine de dix jours-amende infligée le 2 février 2018 à N.________ par le Ministère public de l’arrondissement de Lausanne. L’acte d’accusation n’énumère aucun fait antérieur à la condamnation de 2015, si bien qu’il faut rectifier d’office le jugement sur ce point (ch. III du dispositif du jugement attaqué ; art. 83 al. 1 CPP). L’appelant s’est rendu coupable de lésions corporelles simples qualifiées, de menaces qualifiées, de contrainte et de diffamation. La contrainte, infraction la plus grave, doit être sanctionnée par une peine pécuniaire de 90 jours-amende. Par l’effet du concours, il convient d’augmenter cette peine de 45 jours pour les lésions corporelles simples qualifiées, de 30 jours pour la diffamation et de 30 jours pour les menaces.</w:t>
      </w:r>
    </w:p>
    <w:p>
      <w:r>
        <w:t>- 37 - C’est ainsi une peine pécuniaire de 195 jours-amende qui devrait être prononcée. Le principe de l’interdiction de la reformatio in pejus (cf. art. 391 al. 2 CPP) commande de confirmer la peine pécuniaire de 130 jours- amende prononcée par le premier juge. Le montant du jour-amende arrêté à 30 fr. par le premier juge tient compte de la situation financière de l’appelant de sorte qu’il peut être confirmé. S’agissant du sursis, l’appelant n’en remplit pas les conditions. En effet, au vu de ses antécédents, de ses multiples récidives en cours d’enquête, du fait que la peine pécuniaire infligée sans sursis en 2018 ne l’a pas dissuadé de récidiver, et de ses dénégations tout au long de la procédure, le pronostic est défavorable et commande le prononcé d’une peine ferme. 10. En définitive, l’appel de N.________ doit être rejeté. Le jugement entrepris sera rectifié d’office au ch. III de son dispositif en ce sens que la peine prononcée est partiellement complémentaire à celle prononcée le 2 février 2018 par le Ministère public de l’arrondissement de Lausanne. Vu l’issue de la cause, les frais de la procédure d’appel, par 3'560 fr., constitués en l’espèce de l’émolument de jugement et d’audience (cf. art. 21 al. 1 et 2 TFIP [Tarif des frais de procédure et indemnités en matière pénale du 28 septembre 2010 ; BLV 312.03.1]), seront mis à la charge de N.________,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