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PE20.019616 vom 13. September 2023</w:t>
      </w:r>
    </w:p>
    <w:p>
      <w:r>
        <w:t>VD Tribunal cantonal, 2023-09-13, FR</w:t>
      </w:r>
    </w:p>
    <w:p>
      <w:r>
        <w:rPr>
          <w:b/>
        </w:rPr>
        <w:t xml:space="preserve">Quelle: </w:t>
      </w:r>
      <w:r>
        <w:t>https://mcp.opencaselaw.ch/entscheid/vd_gerichte_PE20.019616</w:t>
      </w:r>
    </w:p>
    <w:p>
      <w:r>
        <w:t>FR: VD_GERICHTE PE20.019616 du 13 septembre 2023</w:t>
      </w:r>
    </w:p>
    <w:p>
      <w:r>
        <w:t>IT: VD_GERICHTE PE20.019616 del 13 settembre 2023</w:t>
      </w:r>
    </w:p>
    <w:p>
      <w:pPr>
        <w:pStyle w:val="Heading2"/>
      </w:pPr>
      <w:r>
        <w:t>Erwägungen</w:t>
      </w:r>
    </w:p>
    <w:p>
      <w:r>
        <w:rPr>
          <w:b/>
        </w:rPr>
        <w:t>E. 4.1</w:t>
      </w:r>
    </w:p>
    <w:p>
      <w:r>
        <w:t>L'appelant conteste ensuite sa condamnation pour faux dans les titres en relation avec le cas n° 1. Selon lui, les fiches de salaire litigieuses ont été établies par lui, en son propre nom, de sorte que l'on se trouverait dans l'hypothèse d'un document qui émane de son auteur apparent, mais qui est mensonger quant à son contenu, de sorte que ces documents ne sauraient constituer des faux matériels. Il en déduit que conformément à la jurisprudence fédérale, des fiches de salaire dont le contenu est inexact ne pourraient pas faire l'objet d'un faux intellectuel</w:t>
      </w:r>
    </w:p>
    <w:p>
      <w:r>
        <w:t>- 15 - dans les titres, faute de valeur probante accrue. Il soutient enfin que les éléments subjectifs de l'infraction de faux dans les titres – à savoir l'intention et le dessein spécial – feraient également défaut.</w:t>
      </w:r>
    </w:p>
    <w:p>
      <w:r>
        <w:rPr>
          <w:b/>
        </w:rPr>
        <w:t>E. 4.2.1</w:t>
      </w:r>
    </w:p>
    <w:p>
      <w:r>
        <w:t>Aux termes de l'art. 251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Cette disposition vise aussi bien un titre faux ou la falsification d'un titre (faux matériel) qu'un titre mensonger (faux intellectuel).</w:t>
      </w:r>
    </w:p>
    <w:p>
      <w:r>
        <w:rPr>
          <w:b/>
        </w:rPr>
        <w:t>E. 4.2.2</w:t>
      </w:r>
    </w:p>
    <w:p>
      <w:r>
        <w:t>Il y a faux matériel lorsqu'une personne fabrique un titre dont l'auteur réel ne coïncide pas avec l'auteur apparent. Le faussaire crée un titre qui trompe sur l'identité de celui dont il émane en réalité (ATF 146 IV 258 consid. 1.1 ; ATF 132 IV 57 consid. 5.1.1 ; ATF 128 IV 265 consid. 1.1.1). En principe, il importe peu que le nom utilisé soit connu, appartienne à un tiers, soit fictif, que le faussaire se soit déjà fait connaître, avant la signature du titre, sous son faux nom auprès de la partie adverse ou qu'il le signe en présence de cette dernière. Il est sans importance de savoir si le contenu d'un tel titre est mensonger ou non (ATF 132 IV 57 précité ; ATF 123 IV 17 consid. 2).</w:t>
      </w:r>
    </w:p>
    <w:p>
      <w:r>
        <w:rPr>
          <w:b/>
        </w:rPr>
        <w:t>E. 4.2.3</w:t>
      </w:r>
    </w:p>
    <w:p>
      <w:r>
        <w:t>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w:t>
      </w:r>
    </w:p>
    <w:p>
      <w:r>
        <w:t>- 16 - précisément résulter de l'usage du titre faux, respectivement mensonger (ATF 141 IV 369 consid. 7.4 et l’arrêt cité).</w:t>
      </w:r>
    </w:p>
    <w:p>
      <w:r>
        <w:rPr>
          <w:b/>
        </w:rPr>
        <w:t>E. 4.3</w:t>
      </w:r>
    </w:p>
    <w:p>
      <w:r>
        <w:t>Contrairement à ce que soutient l’appelant, on ne saurait déduire de la jurisprudence qu’il a citée (ATF 146 IV 258 consid. 1.1.1) que les fiches de salaire qu'il a confectionnées ne seraient pas constitutives de faux dans les titres. En effet, cette jurisprudence concerne le faux intellectuel, soit le mensonge écrit dans un document émanant bien de son auteur apparent. Dans le cas de fiches de salaire, cela signifierait que l'employeur aurait établi de vraies fiches mais mensongères. Or, on ne se trouve pas dans cette situation. En effet, dans le cas d’espèce, T.________ a établi, certes à son nom, des fiches de salaires, avec l'entête de [...], faisant ainsi croire à son destinataire que ce document émanait de cette société. Il ne s'agit donc pas de faux intellectuel, mais bien d'un faux matériel dès lors que l'auteur réel ne coïncide pas avec l'auteur apparent. Le grief doit donc être rejeté et l’appelant reconnu coupable de faux dans les titres.</w:t>
      </w:r>
    </w:p>
    <w:p>
      <w:r>
        <w:rPr>
          <w:b/>
        </w:rPr>
        <w:t>E. 5.1</w:t>
      </w:r>
    </w:p>
    <w:p>
      <w:r>
        <w:t>S'agissant du cas n° 2, l’appelant conteste que l'élément subjectif de l’infraction définie à l’art. 251 CP soit réalisé. Il fait plaider qu'il ignorait tout de l'activité délictueuse poursuivie par P.________ et en particulier des intentions de ce dernier. Il rappelle qu'il lui a remis les documents litigieux sans rien avoir reçu en retour, l'usage occasionnel d'un véhicule découlant des rapports amicaux entre les deux hommes ne pouvant être considéré comme une contrepartie. Enfin, les fiches de salaire et les autres documents litigieux ne constitueraient pas des titres. Par ailleurs, l'appelant invoque une violation des art. 9 CPP et 325 CPP. Il fait valoir que l'acte d'accusation du 5 juin 2023 ne mentionnerait pas précisément en quoi consisterait le dessein spécial imposé par l'art. 251 CP.</w:t>
      </w:r>
    </w:p>
    <w:p>
      <w:r>
        <w:t>- 17 -</w:t>
      </w:r>
    </w:p>
    <w:p>
      <w:r>
        <w:rPr>
          <w:b/>
        </w:rPr>
        <w:t>E. 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w:t>
      </w:r>
    </w:p>
    <w:p>
      <w:r>
        <w:rPr>
          <w:b/>
        </w:rPr>
        <w:t>E. 5.2.2</w:t>
      </w:r>
    </w:p>
    <w:p>
      <w:r>
        <w:t>Les conditions de l'art. 251 CP ont déjà été rappelées au consid. 4.2 ci-dessus auquel on peut renvoyer.</w:t>
      </w:r>
    </w:p>
    <w:p>
      <w:r>
        <w:rPr>
          <w:b/>
        </w:rPr>
        <w:t>E. 5.3</w:t>
      </w:r>
    </w:p>
    <w:p>
      <w:r>
        <w:t>En l'occurrence, contrairement à ce que soutient l'appelant, les documents controuvés par T.________ et remis à P.________ constituent des faux au sens de l'art. 251 CP. En effet, ils n'émanent pas de leur auteur apparent, et leur contenu est en plus faux, de sorte que l'on se trouve dans la même configuration que celle décrite au considérant 4.3 ci-dessus. Ensuite, s'il est vrai que la mise à disposition ponctuelle d'un véhicule automobile de la part d'un ami ne constitue pas de manière évidente une récompense pour la fourniture de documents faux, l'appelant perd de vue que l'art. 251 CP réprime également quiconque agit pour procurer "à un</w:t>
      </w:r>
    </w:p>
    <w:p>
      <w:r>
        <w:t>- 18 - tiers" un avantage illicite. Il n'est par conséquent pas déterminant que l'appelant lui-même n'ait pas perçu d'avantage, de sorte que cet argument est vain. En outre, s'agissant plus particulièrement de la condition subjective de l'infraction en cause, la création de ces documents faux n'a de sens que s'il s'agit d'améliorer la situation du tiers ou de nuire à autrui; cela ressort de leur nature. Dans ces circonstances, il n'est pas nécessaire que l'acte d'accusation tente de décrire les intentions d'un tiers qui n'est pas partie à la procédure. L'appelant ayant admis avoir confectionné les faux et les avoir remis à un tiers est suffisant pour retenir qu'il a agi de manière intentionnelle. On ne discerne ainsi aucune violation des art. 9 al. 1 et 325 CPP. Mal fondé, le moyen doit être rejeté.</w:t>
      </w:r>
    </w:p>
    <w:p>
      <w:r>
        <w:rPr>
          <w:b/>
        </w:rPr>
        <w:t>E. 6</w:t>
      </w:r>
    </w:p>
    <w:p>
      <w:r>
        <w:t>par. 3 let. a et b CEDH (droit d'être informé de la nature et de la cause de l'accusation) (TF 6B_1185/2018 du 14 janvier 2019 consid. 2.1). L’art. 325 CPP détermine le contenu de l'acte d'accusation.</w:t>
      </w:r>
    </w:p>
    <w:p>
      <w:r>
        <w:rPr>
          <w:b/>
        </w:rPr>
        <w:t>E. 6.1</w:t>
      </w:r>
    </w:p>
    <w:p>
      <w:r>
        <w:t>L'appelant conteste enfin sa condamnation pour le cas n° 3. Selon lui le Tribunal de police confondrait les notions de "propriétaire" et de "détenteur". Il rappelle qu'il n'était pas le détenteur des véhicules, qui étaient détenus exclusivement par X.________. Selon lui n'a jamais possédé les clés de ces voitures et n'avait aucun pouvoir de disposition, de sorte qu'il n'aurait pas pu réaliser les infractions qui lui sont reprochées.</w:t>
      </w:r>
    </w:p>
    <w:p>
      <w:r>
        <w:rPr>
          <w:b/>
        </w:rPr>
        <w:t>E. 6.2</w:t>
      </w:r>
    </w:p>
    <w:p>
      <w:r>
        <w:t>Aux termes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L’ancien art. 96 al. 2 LCR, dans sa teneur jusqu’au 30 juin 2023, prévoyait que la conduite d’un véhicule dépourvu d’assurance responsabilité civile était sanctionnée d’une peine privative de liberté de trois ans au plus ou d’une peine pécuniaire et que la peine privative de liberté était assortie d’une peine pécuniaire. Dans les cas de peu de gravité, la sanction est la peine pécuniaire.</w:t>
      </w:r>
    </w:p>
    <w:p>
      <w:r>
        <w:t>- 19 - Dans le cadre de l’harmonisation des peines, le législateur a modifié cette disposition. Le nouvel art. 96 al. 2 LCR, entré en vigueur le 1er juillet 2023, dispose que la conduite d’un véhicule dépourvu d’assurance responsabilité civile est sanctionnée par une peine privative de liberté de trois ans au plus ou d’une peine pécuniaire. Dans les cas de peu de gravité, la sanction est la peine pécuniaire.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135 IV 113 consid. 2.1 ; TF 6B_1308/2020 du 5 mai 2021 consid. 4.2.1). Dans la mesure où la Cour d’appel pénale statue après l’entrée en vigueur du nouvel art. 96 al. 2 LCR, il convient d’appliquer cette disposition dans sa teneur au 1er juillet 2023, plus favorable au prévenu (cf. art. 2 al. 2 CP). Selon l'art. 96 al. 3 LCR, est puni des mêmes peines le détenteur du véhicule ou la personne qui dispose de ce dernier en ayant connaissance de l’infraction ou qui devrait en avoir connaissance s’il avait prêté toute l’attention commandée par les circonstances.</w:t>
      </w:r>
    </w:p>
    <w:p>
      <w:r>
        <w:rPr>
          <w:b/>
        </w:rPr>
        <w:t>E. 6.3</w:t>
      </w:r>
    </w:p>
    <w:p>
      <w:r>
        <w:t>Les premiers juges ont en substance considéré qu'en confiant le véhicule acquis à son nom à son ami, T.________ acceptait l'éventualité que celui-ci le conduise, même s'il ne pensait pas que celui-ci allait le faire. Ils ont relevé que le prévenu n'avait jamais déclaré qu'il aurait interdit à X.________ de conduire son véhicule. De plus, bien que le prévenu ait confié la gestion de son véhicule à X.________, c'est lui qui en assumait le risque financier puisque les amendes des tiers qui l'utilisaient</w:t>
      </w:r>
    </w:p>
    <w:p>
      <w:r>
        <w:t>- 20 - lui étaient adressées, de même que les factures des mensualités de leasing. Il en demeurait ainsi le détenteur et il aurait dû connaître le statut d'assurance de celui-ci en prêtant toute l'attention commandée par les circonstances. En l'occurrence, s'agissant de la mise d'un véhicule automobile à la disposition d'un conducteur sans le permis requis, la motivation des premiers juges ne convainc pas. En effet, l'appelant a déclaré de manière constante et en appel encore qu'il avait aidé à l'acquisition des voitures pour que X.________ puisse les louer dans le cadre de l'activité de son commerce mais qu'il ne pensait pas qu'il allait les conduire. Ses explications sont vraisemblables, de sorte qu'il convient de libérer T.________ du chef de prévention de l'art. 95 al. 1 let. e CPP. En revanche, l'appelant verra sa condamnation confirmée s'agissant de la mise à disposition d’un véhicule non couvert par une assurance responsabilité civile. En effet, entendu à l'audience d'appel sur cette question, il a confirmé qu'il recevait les des courriers des assurances des véhicules et qu'il avait dit à son ami qu'il avait reçu un courrier indiquant que si la prime n'était pas payée, le véhicule ne serait plus assuré. Partant, et même dans l'hypothèse où X.________ lui aurait assuré qu'il allait s'acquitter du montant dû, en ne procédant pas aux vérifications nécessaires, par exemple en prenant directement contact avec l'assurance à l'issue du délai de paiement pour s'assurer que celui-ci avait été fait, T.________ n'a pas prêté toute l'attention commandée par les circonstances, se rendant ainsi coupable de l'infraction précitée. Le moyen de l'appelant sera ainsi partiellement admis dans le sens du considérant qui précède.</w:t>
      </w:r>
    </w:p>
    <w:p>
      <w:r>
        <w:rPr>
          <w:b/>
        </w:rPr>
        <w:t>E. 7.1</w:t>
      </w:r>
    </w:p>
    <w:p>
      <w:r>
        <w:t>L’appelant, qui conclut à son acquittement, ne conteste pas à titre subsidiaire la peine prononcée par le premier juge. Celle-ci doit toutefois être revue d’office, compte tenu de la libération du chef de prévention de mise d'un véhicule automobile à la disposition d'un conducteur sans permis requis (art. 95 al. 1 let. e LCR).</w:t>
      </w:r>
    </w:p>
    <w:p>
      <w:r>
        <w:t>- 21 -</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- 22 -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6B_1268/2023 du 21 décembre 2023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6B_1268/2023 précité consid. 2.1).</w:t>
      </w:r>
    </w:p>
    <w:p>
      <w:r>
        <w:rPr>
          <w:b/>
        </w:rPr>
        <w:t>E. 7.3</w:t>
      </w:r>
    </w:p>
    <w:p>
      <w:r>
        <w:t>En l'occurrence, la culpabilité de T.________ est importante. Son comportement a conduit à la conclusion de deux contrats de leasing sur la base d'informations financières erronées, et a permis à X.________ de développer une entreprise criminelle. T.________ a établi de nombreux faux documents, de manière irresponsable, particulièrement au vu des études qu'il mène et de ses ambitions professionnelles. S'il a fait bonne impression aux débats d'appel, sa prise de conscience reste légère puisqu'il ne se considère pas véritablement responsable de la procédure pénale qu'il subit, mais l'attribue à la trahison de son ami d'enfance. A</w:t>
      </w:r>
    </w:p>
    <w:p>
      <w:r>
        <w:t>- 23 - décharge, on relèvera qu'il semble avoir agi plus par amitié que par appât du gain. S'agissant des infractions qu'il a commises en relation avec X.________ (cas n° 1), celles-ci relèvent d'un même complexe de fait et seront sanctionnées par une peine privative de liberté. Au vu de leur nombre et de leur diversité, le même genre de peine viendra sanctionner les faux dans les titres établis en faveur de P.________ (cas n° 2). L'infraction à la LCR (cas n° 3) sera également sanctionnée par une peine privative de liberté, l'appelant ayant par le passé déjà enfreint cette loi. Avec le premier juge, il faut considérer que l'infraction la plus grave est la complicité d'escroquerie, qui sera sanctionnée d'une peine privative de liberté de quatre mois. Cette peine sera augmentée de trois mois afin de réprimer les faux dans les titres et d'un mois pour l'infraction à la LCR. C'est ainsi une peine privative de liberté de huit mois qui sera infligée à T.________. La peine prononcée ci-dessus sera assortie du sursis, la Cour étant convaincue que la menace de devoir exécuter une peine privative de liberté sera suffisante pour le détourner de la commission d'autres infractions. Le délai d'épreuve sera ramené à deux ans. L'amende de 1'500 fr. prononcée par le premier juge à titre de sanction immédiate, convertible en peine privative de liberté de cinquante jours en cas de non- paiement fautif est adéquate et peut être confirmée.</w:t>
      </w:r>
    </w:p>
    <w:p>
      <w:r>
        <w:rPr>
          <w:b/>
        </w:rPr>
        <w:t>E. 7.4</w:t>
      </w:r>
    </w:p>
    <w:p>
      <w:r>
        <w:t>Il ressort du casier judiciaire de T.________ que celui-ci a été condamné le 29 octobre 2019 par le Ministère public de Neuchâtel à une peine pécuniaire de 30 jours-amende à 30 fr., avec sursis durant 2 ans, et à une amende de 600 fr. pour violation grave des règles de la circulation routière (art. 90 ch. 2 LCR). Il a donc commis une infraction à la LCR dans le délai d'épreuve. Cela étant, la Cour considère que T.________ ne se trouve pas véritablement dans un cas de récidive spéciale, sa condamnation antérieure reposant sur l'art. 90 ch. 2 LCR (soit pour un comportement routier dangereux) et la présente condamnation sur</w:t>
      </w:r>
    </w:p>
    <w:p>
      <w:r>
        <w:t>- 24 - l'art. 96 al. 2 LCR. En outre l'amende à titre de sanction immédiate et la menace de devoir exécuter une peine privative de liberté seront suffisantes pour détourner l'appelant de la commission d'autres infractions. Par conséquent, le sursis ne sera pas révoqué.</w:t>
      </w:r>
    </w:p>
    <w:p>
      <w:r>
        <w:rPr>
          <w:b/>
        </w:rPr>
        <w:t>E. 8</w:t>
      </w:r>
    </w:p>
    <w:p>
      <w:r>
        <w:t>L'appelant a été renvoyé devant le Tribunal de police pour 4 cas. En première instance il a été libéré pour le cas n° 4 et en appel il a encore été partiellement libéré du cas n° 3. Il se justifie ainsi de revoir la répartition des frais de première instance (qui comprennent l'indemnité due au défenseur d'office), en ce sens que T.________ en supportera les deux tiers, le solde étant laissé à a charge de l'Etat.</w:t>
      </w:r>
    </w:p>
    <w:p>
      <w:r>
        <w:rPr>
          <w:b/>
        </w:rPr>
        <w:t>E. 9</w:t>
      </w:r>
    </w:p>
    <w:p>
      <w:r>
        <w:t>En définitive, l’appel de T.________ doit être partiellement admis et le jugement attaqué modifiés dans le sens des considérants qui précèdent. Me Ezgi Saral, pour Me Adrienne Favre, défenseur d’office de T.________, a produit une liste des opérations indiquant une durée totale de 17.63 heures de travail d’avocat (P. 70). Cette durée est un peu trop élevée. Il convient ainsi de retrancher 1h30 du poste « Préparation de l'audience », qui comptait 3h30, 2h00 étant suffisantes dès lors que c'est le même mandataire qui a effectué le travail en première et en deuxième instance et qu'il connaissait ainsi bien le dossier. On déduira également 1h45 pour l'audience de jugement qui a duré 0h45 au lieu des 2h30 estimées. Au tarif horaire de 180 fr., l’indemnité allouée sera fixée, pour les opérations effectuées, jusqu’au 31 décembre 2023, à 1'631 fr. 35, soit 1'485 fr. à titre d’honoraires, 29 fr. 70 de débours forfaitaires à 2%, et 116 fr. 65 de TVA au taux de 7,7% sur le tout, et, pour les opérations effectuées depuis le 1er janvier 2024, à 1'346 fr. 35, soit 1'103 fr. 40 à titre d’honoraires, 22 fr. 05 de débours forfaitaires, 120 fr. pour une vacation et 100 fr. 90 de TVA au taux de 8,1% sur le tout, ce qui porte l’indemnité à 2'977 fr. 70 au total.</w:t>
      </w:r>
    </w:p>
    <w:p>
      <w:r>
        <w:t>- 25 - Vu l’issue de la cause, les frais de la procédure d’appel, par 5'247 fr. 70, constitués de l’émolument de jugement, par 2'270 fr. (art. 21 al. 1 et 2 TFIP [Tarif des frais de procédure et indemnités en matière pénale du 28 septembre 2010 ; BLV 312.03.1]), ainsi que de l’indemnité allouée à son défenseur d’office, par 2'977 fr. 70, seront mis par deux tiers, soit 3'498 fr. 45 à la charge de T.________, le solde, par 1'749 fr. 25,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