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PE20.019557 vom 30. Mai 2023</w:t>
      </w:r>
    </w:p>
    <w:p>
      <w:r>
        <w:t>VD Tribunal cantonal, 2023-05-30, FR</w:t>
      </w:r>
    </w:p>
    <w:p>
      <w:r>
        <w:rPr>
          <w:b/>
        </w:rPr>
        <w:t xml:space="preserve">Quelle: </w:t>
      </w:r>
      <w:r>
        <w:t>https://mcp.opencaselaw.ch/entscheid/vd_gerichte_PE20.019557</w:t>
      </w:r>
    </w:p>
    <w:p>
      <w:r>
        <w:t>FR: VD_GERICHTE PE20.019557 du 30 mai 2023</w:t>
      </w:r>
    </w:p>
    <w:p>
      <w:r>
        <w:t>IT: VD_GERICHTE PE20.019557 del 30 maggio 2023</w:t>
      </w:r>
    </w:p>
    <w:p>
      <w:pPr>
        <w:pStyle w:val="Heading2"/>
      </w:pPr>
      <w:r>
        <w:t>Erwägungen</w:t>
      </w:r>
    </w:p>
    <w:p>
      <w:r>
        <w:rPr>
          <w:b/>
        </w:rPr>
        <w:t>E. 1</w:t>
      </w:r>
    </w:p>
    <w:p>
      <w:r>
        <w:t>X.________, de nationalité suisse, est né le [...] 1984. Après sa scolarité obligatoire, il a obtenu un CFC de cuisiner, puis a œuvré dans ce domaine mais aussi comme magasinier cariste. A la fin de l’année 2022, il a travaillé quelques mois comme cuisinier dans un restaurant à [...], pour un salaire mensuel brut de 3'700 francs. Depuis le 27 décembre 2022, il est en arrêt de travail pour cause d’accident. Il émarge actuellement à l’aide sociale en attendant d’obtenir des indemnités de l’assurance- accident. Il fait l’objet de poursuites pour un montant d’environ 8'000 francs. Il occupe seul un appartement à [...], dont le loyer mensuel s’élève à 1'125 francs. Son fils, [...], né le [...] 2018, est placé dans un foyer dans le canton de Fribourg. Il le voit les mardis et les jeudis en présence du grand-père paternel, ainsi que les dimanches sans surveillance, sous la condition d’un suivi régulier auprès du Centre cantonal d’addictologie (P. 61/2/6). Le casier judiciaire suisse de X.________ comporte les inscriptions suivantes : - 11.11.2013, Ministère public du canton de Fribourg : conduite d’un véhicule automobile en état d’ébriété avec un taux d’alcool qualifié et opposition ou dérobade aux mesures visant à déterminer l’incapacité de conduire ; travail d’intérêt général de 400 heures, dont 200 heures avec sursis pendant 4 ans ; - 14.12.2017, Ministère public du canton de Fribourg : opposition ou dérobade aux actes de l’autorité ; 10 jours-amende à 90 fr. le jour, avec sursis pendant 2 ans, et amende de 300 fr. ; - 30.10.2018, Ministère public du canton de Fribourg : lésions corporelles simples contre le partenaire et voies de fait ; 60 jours-amende à 60 fr. le jour, avec sursis pendant 4 ans, sous la condition de règles de conduite (suivi thérapeutique en matière de gestion de la violence et abstinence à l’alcool avec contrôle inopinés), et amende de 1'500 fr. ; délai d’épreuve prolongé d’une année le 07.01.2020 ; sursis révoqué le 31.5.2021 ;</w:t>
      </w:r>
    </w:p>
    <w:p>
      <w:r>
        <w:t>- 5 - - 07.01.2020, Ministère public du canton de Fribourg : lésions corporelles simples contre le partenaire (commises à réitérées reprises), voies de fait, séquestration et enlèvement ; 180 jours de peine privative de liberté, avec sursis pendant 5 ans, et amende de 300 fr. ; délai d’épreuve prolongé de 2 ans le 05.11.2021 ; - 31.05.2021, Ministère public du canton de Fribourg : menaces et opposition aux actes de l’autorité ; 40 jours-amende à 80 fr. le jour et amende de 200 fr. ; - 05.11.2021, Ministère public du canton de Fribourg : voies de fait et lésions corporelles simples contre le partenaire ; 60 jours- amende à 80 fr. le jour et amende de 300 francs. L’extrait du Système d’information relatif à l’admission à la circulation (SIAC) de X.________ comporte les inscriptions suivantes : - 24.05.2006, retrait du permis pendant 4 mois pour vitesse, autre faute de la circulation et ébriété (cas grave + accident) ; - 26.07.2007, retrait du permis pendant 16 mois pour ébriété et distance insuffisante (cas grave + accident) ; - 31.10.2013, retrait du permis pour une durée indéterminée, avec délai d’attente de 2 ans, pour ébriété et entrave à une prise de sang (cas grave) ; - 03.08.2017, révocation du retrait de permis du 31.10.2013, avec conditions spéciales pendant 12 mois ; - 03.03.2021, retrait du permis pour une durée indéterminée, avec délai d’attente de 5 ans, médecin et psychologue du trafic (cas grave + accident), pour ébriété et inattention.</w:t>
      </w:r>
    </w:p>
    <w:p>
      <w:r>
        <w:t>- 6 -</w:t>
      </w:r>
    </w:p>
    <w:p>
      <w:r>
        <w:rPr>
          <w:b/>
        </w:rPr>
        <w:t>E. 1.1</w:t>
      </w:r>
    </w:p>
    <w:p>
      <w:r>
        <w:t>Interjeté dans les formes et délais légaux (art.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6B_827/2017 du 25 janvier 2018 consid. 1.1). La voie de l'appel doit permettre un nouvel examen au fond par la juridiction d'appel. Celle-ci ne doit pas se borner à rechercher les</w:t>
      </w:r>
    </w:p>
    <w:p>
      <w:r>
        <w:t>- 8 -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6B_1263/2018 du 28 janvier 2019 consid. 2.1.1 ; TF 6B_868/2018 du 26 octobre 2018 consid. 1). Cela n'exclut toutefois pas que l'autorité d'appel puisse se référer dans une certaine mesure à l'appréciation contenue dans le jugement de première instance (TF 6B_868/2018 précité consid. 1 ; TF 6B_1070/2017 du 20 avril 2018 consid. 2.3 ; TF 6B_114/2013 du 1er juillet 2013 consid. 6). 3. 3.1 L’appelant soutient qu’il a pris conscience de son acte, qu’il s’est excusé à plusieurs reprises auprès de la victime, qu’il a pris en mains sa problématique d’addiction à l’alcool en suivant mensuellement, depuis mars 2023, une thérapie au Centre cantonal d’addictologie, qu’il est désormais abstinent, qu’il n’a pas commis de nouvelles infractions depuis le 7 janvier 2020, qu’une condamnation à une peine privative de liberté de 180 jours ferait obstacle à la relation qu’il entretient avec son fils et au bon développement de celui-ci, qu’il n’avait auparavant pas pu établir une relation stable avec son enfant en raison de ses problèmes d’addiction à l’alcool et à la drogue ainsi que de la relation toxique et conflictuelle qu’il entretenait avec son ancienne compagne et qu’il se bat actuellement pour obtenir la garde de son fils. Il considère que le prononcé d’une peine pécuniaire avec sursis total suffirait à le détourner de la commission de nouvelles infractions et qu’il n’y a pas lieu de révoquer le sursis accordé le</w:t>
      </w:r>
    </w:p>
    <w:p>
      <w:r>
        <w:rPr>
          <w:b/>
        </w:rPr>
        <w:t>E. 2</w:t>
      </w:r>
    </w:p>
    <w:p>
      <w:r>
        <w:t>Le 10 novembre 2020, en soirée, X.________ a circulé, de Fribourg à Donatyre, sur la route cantonale, en direction d’Avenches, au volant de son véhicule de marque Skoda Fabia, immatriculé [...], alors qu’il se trouvait sous l’influence de l’alcool. Au cours de ce trajet, vers 19h25, sur la commune d’Avenches, à Donatyre, au terme d’une courbe à droite, alors qu’il circulait à une vitesse de 70 km/h environ, X.________ a, en raison de l’altération de ses capacités physiques par sa consommation excessive d’alcool, laissé dévier vers l’extérieur du virage son automobile, qui a alors entièrement franchi la ligne double de sécurité. Sa voiture s’est ainsi déportée sur la voie de circulation opposée et a percuté le véhicule de marque Honda Jazz, immatriculé [...], conduit normalement par B.________ et occupé par C.________ sur le siège passager avant. Selon le rapport de police, le temps était couvert, la chaussée humide et la visibilité réduite par le brouillard. Sous la violence du choc, le véhicule conduit par B.________ a été propulsé en arrière et a percuté la Mercedes EQC 400 conduite par [...] qui véhiculait deux passagers. L’automobile de X.________ a poursuivi son embardée sur 87 mètres, est sortie de la route sur la droite, a roulé 23 mètres dans un champ et s’est finalement immobilisée sur la route, l’avant en direction de Faoug. L'analyse de la prise de sang effectuée le soir-même entre 22h00 et 22h20 a révélé que X.________ présentait un taux d’alcool de 2,43 g/kg (taux le plus favorable) au moment des faits. C.________ a subi une fracture-tassement au niveau des vertèbres L1 et L5 ayant nécessité une cimentoplastie, une fracture- tassement minime au niveau des vertèbres T6 et T7 et une fracture sternale non déplacée. Elle a été hospitalisée du 10 au 16 novembre 2020. Elle a été incapable de travailler à 100 % durant sept semaines, à 50 % du</w:t>
      </w:r>
    </w:p>
    <w:p>
      <w:r>
        <w:rPr>
          <w:b/>
        </w:rPr>
        <w:t>E. 4</w:t>
      </w:r>
    </w:p>
    <w:p>
      <w:r>
        <w:t>au 31 janvier 2021 et à 20 % du 1er février au 14 mars 2021. En raison de forte angoisses liées à l’accident, elle a à nouveau été totalement incapable de travailler du 24 novembre 2021 au 23 janvier 2022.</w:t>
      </w:r>
    </w:p>
    <w:p>
      <w:r>
        <w:t>- 7 - C.________ a déposé plainte le 24 novembre 2020 et s’est constituée partie civile le 4 février 2021. En d roit : 1.</w:t>
      </w:r>
    </w:p>
    <w:p>
      <w:r>
        <w:rPr>
          <w:b/>
        </w:rPr>
        <w:t>E. 7</w:t>
      </w:r>
    </w:p>
    <w:p>
      <w:r>
        <w:t>janvier 2020 (déclaration d’appel, p. 3) est contraire à la vérité. En effet, outre l’accident du 7 novembre 2020 qui fait l’objet de la présente procédure, l’appelant a encore été condamné le 31 mai 2021 pour opposition aux actes de l’autorité le 9 janvier 2021 et menaces proférées les 27-28 janvier 2021, ainsi que le 5 novembre 2021 pour voies de fait commises contre le partenaire entre le 4 juin 2019 et le 7 avril 2021 et lésions corporelles simples commises contre le partenaire le 10 mai 2021. Avant l’accident du 10 novembre 2020, l’appelant a été condamné à quatre reprises par les autorités fribourgeoises en 2013, 2017, 2018 et 2020. Le travail d’intérêt général (en 2013) a été prononcé</w:t>
      </w:r>
    </w:p>
    <w:p>
      <w:r>
        <w:t>- 12 - avec sursis partiel et toutes les autres peines l’ont été avec sursis complet (peines pécuniaires en 2017 et 2018 et peine privative de liberté en 2020). Il a été renoncé une fois à la révocation du sursis accordé en 2013, deux fois à la révocation du sursis accordé en 2017, une fois à la révocation du sursis accordé en 2018 et deux fois la révocation du sursis accordé en 2020. Le sursis accordé en 2018 a été prolongé d’une année et celui accordé en 2020 a été prolongé de deux ans. Le sursis accordé en 2018 a finalement été révoqué le 31 mai 2018. S’agissant des mesures administratives, l’appelant s’est vu retirer son permis de conduire trois fois, soit en 2006 pour 4 mois (ébriété), en 2007 pour une année (ébriété et distance insuffisante) et en 2013 pour une durée indéterminée (ébriété et entrave à la prise de sang). Ce dernier retrait de permis a été révoqué le 3 août 2017 sous conditions spéciales jusqu’au 2 août 2018. A la suite de l’accident faisant l’objet de la présente procédure, l’appelant s’est à nouveau vu retirer son permis pour une durée indéterminée, avec délai d’attente de 5 ans jusqu’au</w:t>
      </w:r>
    </w:p>
    <w:p>
      <w:r>
        <w:rPr>
          <w:b/>
        </w:rPr>
        <w:t>E. 9</w:t>
      </w:r>
    </w:p>
    <w:p>
      <w:r>
        <w:t>novembre 2025. Le pronostic est résolument défavorable. En effet, alors que l’appelant avait déjà conduit par le passé plusieurs fois en état d’ébriété (et provoqué deux accidents) et que son permis de conduire lui avait déjà été retiré trois fois, la dernière fois pour une durée indéterminée avec un délai d’attente de deux ans, cela ne l’a pas empêché de reprendre le volant avec un taux d’alcoolémie de 2,43 g/kg et de provoquer une grave collision frontale, blessant la passagère avant de la voiture arrivant normalement en sens inverse. Comme indiqué par le premier juge, c’est un miracle qu’il n’y ait pas eu de morts. L’appelant se prévaut du fait que, depuis mars 2023, il bénéficie d’un suivi mensuel auprès du Centre cantonal d’addictologie à Fribourg pour traiter sa problématique d’addiction à d’alcool, ce qui démontrerait sa volonté de reprendre sa vie en mains et de récupérer la garde de son fils. Or une telle volonté doit être fortement relativisée puisque l’appelant a recouru le 27 avril 2023 – sans succès – contre la décision de la Justice de paix de l’arrondissement de la Broye (FR) du 5 décembre 2022 qui conditionnait l’exercice de son droit de</w:t>
      </w:r>
    </w:p>
    <w:p>
      <w:r>
        <w:t>- 13 - visite sur son enfant à un suivi régulier auprès de cette même institution (P. 61/2/6, p. 8). A cela s’ajoute que l’appelant a récidivé en cours d’enquête : en janvier 2021, il a refusé d’obtempérer aux ordres des policiers qui ont dû s’interposer entre lui et sa compagne, alcoolisés, et il a menacé un collaborateur de l’institution au sein de laquelle son fils était placé de débarquer dans l’établissement avec un pistolet « s’il(s) ne faisai(en)t pas bien attention » (P. 25) ; en avril et mai 2021, il a encore eu un comportement violent envers sa partenaire (voies de fait et lésions corporelles simples). L’appelant se moque de l’ordre juridique et des conséquences que peuvent entraîner ses actes. Il n’a su saisir aucune des nombreuses chances qui lui ont été accordées sous forme de non- révocations de sursis à des peines pécuniaires et de prolongations du délai d’épreuve. Il serait vain de conditionner un éventuel sursis à des règles de conduite, puisque l’appelant n’a pas respecté celles prononcées le 30 octobre 2018, notamment concernant l’abstinence à l’alcool (P. 7, p. 2 ; P. 25). En l’état, seule une peine privative de liberté ferme sera à même d’amender durablement l’intéressé et de diminuer autant que faire se peut l’important risque qu’il représente pour la sécurité routière et l’intégrité corporelle voire la vie d’autrui. En outre, le fait que l’appelant devra exécuter la peine privative de liberté ferme nouvellement infligée ne suffira pas à le détourner de la commission de nouvelles infractions, de sorte que la révocation du sursis de 5 ans à la peine privative de liberté de 180 jours accordé le 7 janvier 2020 s’impose, pour des motifs de prévention spéciale c’est-à-dire pour que l’appelant puisse mesurer concrètement la gravité de sa récidive et comprendre que l’autorité ne tolérera plus aucun écart en matière de circulation routière. 4. A titre très subsidiaire, l’appelant fait valoir qu’une interdiction de conduire pourrait constituer une alternative à la prison, mais son permis lui a de toute manière déjà été retiré pour une longue période. En outre, l’art. 67e CP, relatif à l’interdiction de conduire, n’est pas applicable aux infractions à la loi fédérale sur la circulation routière du 19 décembre 1958 (LCR ; RS 731.01) (ATF 137 IV 72 consid. 2).</w:t>
      </w:r>
    </w:p>
    <w:p>
      <w:r>
        <w:t>- 14 - 5. L’appelant ne critique pas la quotité de la peine privative de liberté d’ensemble de 360 jours prononcée. Revue d’office, la motivation du premier juge est adéquate et peut être confirmée par adoption de motifs (art. 82 al. 4 CPP ; jugement, pp. 19-20). 6. Il résulte de ce qui précède que l’appel, manifestement mal fondé, doit être rejeté sans échange d’écritures (art. 390 al. 2 CPP par renvoi de l’art. 406 al. 4 CPP) et le jugement entrepris confirmé. La liste d’opérations produite par Me Monica Mitrea, défenseur d’office de X.________, indiquant 8h05 d’activité est admise. Au tarif horaire de 180 fr. (art. 2 al. 1 let. a et 3 al. 1 RAJ [règlement sur l'assistance judiciaire en matière civile du 7 décembre 2010 ; BLV 211.02.3] par renvoi de l'art. 26b TFIP), le défraiement s’élève à 1’455 francs. S'y ajoutent 2 % pour les débours (art. 3bis al. 1 RAJ par renvoi de l'art. 26b TFIP), soit 29 fr. 10, et 7,7 % de TVA sur le tout, soit 114 fr. 30, de sorte que l'indemnité d'office s’élève au total à 1’599 francs. Vu l’issue de la cause, les frais de la procédure d’appel, par 1'540 fr. (art. 21 al. 1 TFIP), ainsi que l'indemnité allouée au défenseur d'office, par 1'599 fr., soit au total 3'139 fr., seront mis à la charge de l'appelant, qui succombe (art. 428 al. 1 CPP). L'appelant sera tenu de rembourser à l’Etat l’indemnité en faveur de son défenseur d’office dès que sa situation financière le permettra (art. 135 al. 4 CPP).</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