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PE20.019195 vom 1. März 2021</w:t>
      </w:r>
    </w:p>
    <w:p>
      <w:r>
        <w:t>VD Tribunal cantonal, 2021-03-01, FR</w:t>
      </w:r>
    </w:p>
    <w:p>
      <w:r>
        <w:rPr>
          <w:b/>
        </w:rPr>
        <w:t xml:space="preserve">Quelle: </w:t>
      </w:r>
      <w:r>
        <w:t>https://mcp.opencaselaw.ch/entscheid/vd_gerichte_PE20.019195</w:t>
      </w:r>
    </w:p>
    <w:p>
      <w:r>
        <w:t>FR: VD_GERICHTE PE20.019195 du 1 mars 2021</w:t>
      </w:r>
    </w:p>
    <w:p>
      <w:r>
        <w:t>IT: VD_GERICHTE PE20.019195 del 1 marzo 2021</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 Reymond, Petit Commentaire du Code de procédure pénale, 2e éd., Bâle 2016, n. 24 ad art. 263 CPP).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t>- 4 -</w:t>
      </w:r>
    </w:p>
    <w:p>
      <w:r>
        <w:rPr>
          <w:b/>
        </w:rPr>
        <w:t>E. 1.2</w:t>
      </w:r>
    </w:p>
    <w:p>
      <w:r>
        <w:t>En l’espèce, interjeté en temps utile par le prévenu, qui se prétend propriétaire des objets séquestrés, et qui a donc un intérêt juridique à l’annulation ou à la modification de l’ordonnance entreprise (art. 382 al. 1 CPP), le recours est recevable.</w:t>
      </w:r>
    </w:p>
    <w:p>
      <w:r>
        <w:rPr>
          <w:b/>
        </w:rPr>
        <w:t>E. 2.1</w:t>
      </w:r>
    </w:p>
    <w:p>
      <w:r>
        <w:t>Le recourant invoque une violation de l’art 263 al. 1 let. a CPP. Il soutient que, dans la mesure où toutes les données nécessaires à l’enquête ont pu être extraites, les téléphones litigieux devraient lui être restitués. Si tant est que l’extraction des données soit techniquement impossible, les appareils pourraient simplement être expurgés de tout contenu, lequel pourrait être stocké sur un support externe.</w:t>
      </w:r>
    </w:p>
    <w:p>
      <w:r>
        <w:rPr>
          <w:b/>
        </w:rPr>
        <w:t>E. 2.2</w:t>
      </w:r>
    </w:p>
    <w:p>
      <w:r>
        <w:t>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263 al. 1 let. a CPP vise l’hypothèse du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(Lembo/Julen Berthod, op. cit., n. 5 ad art. 263 CPP; Bommer/Goldschmid, in Niggli/Heer/Wiprächtiger [édit.], Basler Kommentar, Schweizerische Strafprozess-ordnung, Jugendstrafprozessordnung, Art. 196-457 StPO – Art. 1-54 JStPO, 2e éd., Bâle 2014, n. 5 ante art. 263-268 CPP et n. 9 ad art. 263 CPP). Selon la jurisprudence et la doctrine, le principe de la proportionnalité implique en particulier que lorsque l’objet est susceptible</w:t>
      </w:r>
    </w:p>
    <w:p>
      <w:r>
        <w:t>- 5 - d’être utilisé comme moyen de preuve en raison des informations qui y sont contenues, l’autorité pénale doit se contenter de tirer une copie de ces informations si cela suffit aux besoins de la procédure (cf. art. 247 al.</w:t>
      </w:r>
    </w:p>
    <w:p>
      <w:r>
        <w:rPr>
          <w:b/>
        </w:rPr>
        <w:t>E. 2.3</w:t>
      </w:r>
    </w:p>
    <w:p>
      <w:r>
        <w:t>En l’espèce, il résulte du rapport d’investigation de la police qu’il n’a pas été possible d’extraire toutes les données relatives à l’application « Telegram », raison pour laquelle les deux téléphones litigieux ont été transmis au Ministère public comme moyens de preuve (P. 29, chiffre 3.1). Autrement dit, il n’y a pas de moyens techniques permettant d’extraire les données nécessaires à l’enquête et de les stocker sur un support externe, comme le voudrait le recourant. Il est donc conforme au principe de la proportionnalité que les téléphones iPhone en question demeurent au dossier comme éléments de preuve. Le séquestre probatoire des appareils est ainsi justifié. De surcroît, le Ministère public a également fondé le séquestre des deux téléphones iPhone sur l’art. 263 al. 1 let. d CPP. Or, aucun grief n’est invoqué par le recourant sur ce point. 3. En définitive, le recours interjeté par F.________, manifestement mal fondé, doit être rejeté sans échange d'écritures (art. 390 al. 2 CPP) et l'ordonnance attaquée confirmée. La requête du recourant tendant à l’octroi de l’assistance judiciaire pour la procédure de recours – qui est uniquement recevable en tant qu’elle porte sur la désignation d’un défenseur d’office, dès lors que l’assistance judiciaire pour la procédure de recours, comprenant l’exonération des frais de procédure et d’avances de frais, ne peut être accordée qu’à la partie plaignante (cf. art. 136 CPP) et non au prévenu (cf. art. 132 CPP ; CREP 2 décembre 2015/793, JdT 2016 III 33 ; CREP 22 mars</w:t>
      </w:r>
    </w:p>
    <w:p>
      <w:r>
        <w:t>- 6 - 2019/219) – est sans objet, la désignation d’un défenseur d’office par le Ministère public valant également pour la procédure de recours. Les frais de la procédure de recours, constitués de l’émolument d’arrêt, par 660 fr. (art. 20 al. 1 TFIP [Tarif des frais de procédure et indemnités en matière pénale du 28 septembre 2010; BLV 312.03.1]), ainsi que des frais imputables à la défense d’office (art. 422 al. 1 et 2 let. a CPP), fixés à 360 fr. (2 heures d’activité nécessaire au tarif horaire de 180 fr.), auxquels il convient d’ajouter des débours forfaitaires à concurrence de 2 % (art. 2 al. 1 let. a et 3bis al. 1 RAJ [Règlement sur l'assistance judiciaire en matière civile du 7 décembre 2010 ; BLV 211.02.3], applicables par renvoi de l’art. 26b TFIP), par 7 fr. 20, plus la TVA par 28 fr. 30, soit à 395 fr. 50 au total, montant arrondi à 396 fr., seront mis à la charge de F.________,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5 février 2021 est confirmée. III. L'indemnité allouée à Me Stève Kalbermatten, défenseur d'office de F.________, est fixée à 396 fr. (trois cent nonante-six francs). IV. Les frais d’arrêt, par 660 fr. (six cent soixante francs), ainsi que l’indemnité due au défenseur d’office de F.________, par 396 fr. (trois cent nonante-six francs), sont mis à la charge de ce dernier. V. Le remboursement à l’Etat de l’indemnité allouée au chiffre III ci-dessus ne sera exigible que pour autant que la situation financière de F.________ le permette.</w:t>
      </w:r>
    </w:p>
    <w:p>
      <w:r>
        <w:t>- 7 - VI. L’arrêt est exécutoire. Le président : La greffière : Du Le présent arrêt, dont la rédaction a été approuvée à huis clos, est notifié, par l'envoi d'une copie complète, à : - Me Stève Kalbermatten, avocat (pour F.________), - Ministère public central ; et communiqué à : - Mme la Procureure cantonal Strada,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3</w:t>
      </w:r>
    </w:p>
    <w:p>
      <w:r>
        <w:t>CPP sur la perquisition de documents et enregistrements; Bommer/Goldschmid, in : Niggli/Heer/Wiprächtiger [éd.], op. cit., n. 23 ad art. 263 CPP) et restituer l’objet lui-même à son titulaire (CREP 11 avril 2018/274 consid. 2.4.2 ; CREP 1er septembre 2014/227 consid. 2.4 ; CREP</w:t>
      </w:r>
    </w:p>
    <w:p>
      <w:r>
        <w:rPr>
          <w:b/>
        </w:rPr>
        <w:t>E. 8</w:t>
      </w:r>
    </w:p>
    <w:p>
      <w:r>
        <w:t>novembre 2011/508 consid. 2e).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