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PE20.019188 vom 15. Dezember 2025</w:t>
      </w:r>
    </w:p>
    <w:p>
      <w:r>
        <w:t>VD Tribunal cantonal, 2025-12-15, FR</w:t>
      </w:r>
    </w:p>
    <w:p>
      <w:r>
        <w:rPr>
          <w:b/>
        </w:rPr>
        <w:t xml:space="preserve">Quelle: </w:t>
      </w:r>
      <w:r>
        <w:t>https://mcp.opencaselaw.ch/entscheid/vd_gerichte_PE20.019188</w:t>
      </w:r>
    </w:p>
    <w:p>
      <w:r>
        <w:t>FR: VD_GERICHTE PE20.019188 du 15 décembre 2025</w:t>
      </w:r>
    </w:p>
    <w:p>
      <w:r>
        <w:t>IT: VD_GERICHTE PE20.019188 del 15 dicembre 2025</w:t>
      </w:r>
    </w:p>
    <w:p>
      <w:pPr>
        <w:pStyle w:val="Heading2"/>
      </w:pPr>
      <w:r>
        <w:t>Erwägungen</w:t>
      </w:r>
    </w:p>
    <w:p>
      <w:r>
        <w:rPr>
          <w:b/>
        </w:rPr>
        <w:t>E. 5.1</w:t>
      </w:r>
    </w:p>
    <w:p>
      <w:r>
        <w:t>L’appelante conteste la libération de la prévenue du chef d’accusation de traite d’êtres humains. Elle reproche à l’autorité de première instance de ne pas avoir retenu les éléments venant étayer sa version des faits, comme l’extrait du journal de police (cf. P. 23) et le rapport du Dr K.________ du 21 octobre 2022 (cf. P. 36/1). Elle souligne également que les déclarations de la prévenue contiendraient d’importantes contradictions. Le Ministère public conclut à ce que la prévenue soit condamnée pour lésions corporelles simples qualifiées, séquestration et enlèvement avec circonstances aggravantes.</w:t>
      </w:r>
    </w:p>
    <w:p>
      <w:r>
        <w:rPr>
          <w:b/>
        </w:rPr>
        <w:t>E. 5.2.1</w:t>
      </w:r>
    </w:p>
    <w:p>
      <w:r>
        <w:t>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concernent tant le fardeau de la preuve que l'appréciation des preuves au sens large (ATF 148 IV 409 consid. 2.2 ; ATF 145 IV 154 consid. 1.1 ; ATF 144 IV 345 consid. 2.2.3.1 ; TF 6B_589/2024 du 17 janvier 2025 consid. 2.1.2).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13J010</w:t>
      </w:r>
    </w:p>
    <w:p>
      <w:r>
        <w:t>- 25 - s'imposent à l'esprit en fonction de la situation objective. Dans cette mesure, la présomption d'innocence se confond avec l'interdiction générale de l'arbitraire, prohibant une appréciation reposant sur des preuves inadéquates ou sans pertinence (ATF 148 IV 409 précité ; ATF 146 IV 88 consid. 1.3.1 ; ATF 145 IV 154 consid. 1.1).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et les références citées). Les déclarations de la victime constituent un élément de preuve. Le juge doit, dans l'évaluation globale de l'ensemble des éléments probatoires rassemblés au dossier, les apprécier librement (TF 6B_802/2021 du 10 février 2022 consid. 1.1 ; TF 6B_366/2021 du 26 janvier 2022 consid. 2.1.2 ; TF 6B_238/2020 du 14 décembre 2020 consid. 1.3 et les références citées),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w:t>
      </w:r>
    </w:p>
    <w:p>
      <w:r>
        <w:rPr>
          <w:b/>
        </w:rPr>
        <w:t>E. 5.2.2</w:t>
      </w:r>
    </w:p>
    <w:p>
      <w:r>
        <w:t>Selon l’art. 182 al. 1 aCP – dans sa teneur en vigueur jusqu’au 30 juin 2023 (RO 2023 p. 259 ; FF 2018 p. 2889) –, se rend coupable de traite d’êtres humains celui qui, en qualité d’offreur, d’intermédiaire ou d’acquéreur, se livre à la traite d’un être humain à des fins d’exploitation 13J010</w:t>
      </w:r>
    </w:p>
    <w:p>
      <w:r>
        <w:t>- 26 - sexuelle, d’exploitation de son travail ou en vue du prélèvement d’un organe. Le fait de recruter une personne à ces fins est assimilé à la traite. L’exploitation du travail des victimes est reprise de l’art. 3 du Protocole additionnel à la Convention des Nations Unies contre la criminalité transnationale organisée (RS 0.311.542). Ce type d’exploitation recouvre notamment le travail ou les services forcés, l’esclavage ou des conditions analogues à l’esclavage. Concrètement, il peut s’agir notamment de situations dans lesquelles le travailleur fait l’objet de privation de nourriture, de maltraitance physique, de chantage, d’isolement, de lésions corporelles, de violences sexuelles ou de menaces de mort. Selon le Message du Conseil fédéral sur la modification correspondante de l’art. 182 CP (FF 2005 p. 2639), lequel message se réfère à une définition proposée sur le plan de l’Union européenne, il y a aussi exploitation du travail lorsqu’une personne est continuellement empêchée d’exercer ses droits fondamentaux en violation de la réglementation du travail ou des dispositions relatives à la rémunération, la sécurité et la santé sur le lieu de travail. Devant cette définition très large, de nombreux auteurs s’accordent pour dire que la simple violation de la réglementation du travail ne constitue pas déjà un cas d’exploitation ; il faut bien plus des circonstances aggravantes, telles que les différentes formes évoquées ci-avant (cf. Stoudmann, in : Macaluso/Moreillon/Queloz [éd.], Commentaire romand, Code pénal II, Art. 111-392 CP, Bâle 2025, nn. 22 ss ad art. 182 CP et les références citées).</w:t>
      </w:r>
    </w:p>
    <w:p>
      <w:r>
        <w:rPr>
          <w:b/>
        </w:rPr>
        <w:t>E. 5.3</w:t>
      </w:r>
    </w:p>
    <w:p>
      <w:r>
        <w:t>En l’espèce, il existe un doute s’agissant des faits qui se sont déroulés en Suisse. En effet, les déclarations faites par l’appelante devant le Ministère public le 28 juin 2021, concernant plus particulièrement la période passée en Suisse, sont peu crédibles (cf. PV aud. 2). Elle a expliqué qu’elle devait s’occuper du fils de 4 ans de la prévenue, de 6 heures à 23 heures ou minuit. Or, un enfant de cet âge dort davantage, ce d’autant plus lorsqu’il ne fait pas de sieste comme elle l’allègue. Par ailleurs, elle a affirmé que sa patronne était absente le soir, de sorte qu’elle devait être relativement libre 13J010</w:t>
      </w:r>
    </w:p>
    <w:p>
      <w:r>
        <w:t>- 27 - de son temps ; là encore, un enfant de 4 ans, qui ne fait pas de sieste et qui se lève à 6 heures du matin, ne peut veiller jusqu’à près de minuit. D’ailleurs, lors des débats d’appel, l’appelante s’est contredite en indiquant finalement que l’enfant se couchait entre 19 heures et 20 heures (cf. p. 3). Elle relate également qu’elle n’avait pas le temps de manger et qu’elle ne pouvait se nourrir que de pain et boire du thé, ou alors elle devait se nourrir des restes des repas des enfants ou faire les poubelles. Pourtant, elle devait aider la nourrice à préparer les repas qu’elle donnait ensuite au fils de la prévenue et avait accès au frigo, qui, selon ses propres dires, contenait beaucoup de nourriture. En outre, elle sortait le matin avec l’autre nourrice. Elle avait ainsi accès à de la nourriture et donc la possibilité de manger. L’appelante a également relaté que les premiers jours, la prévenue lui avait apporté des aliments, comme des légumes et du poulet, et que c’est surtout à partir de la deuxième semaine que les choses étaient devenues plus difficiles pour elle. Lors des débats d’appel, elle a contesté ce point, indiquant que la prévenue avait en réalité apporté de la nourriture pour l’autre nourrice, et qu’elle ignorait si la nourriture qu’elle avait reçue provenait de cette nourrice ou de la prévenue elle-même (cf. p. 3). C’est peu compréhensible. L’appelante a encore affirmé que lorsque la prévenue amenait son fils à Divonne, elle était enfermée dans l’appartement, sans pouvoir en sortir et qu’elle n’avait pas le droit de parler aux voisins. Toutefois, il résulte également de ses propres déclarations qu’elle sortait tous les matins avec les enfants pour aller au lac avec l’autre nourrice, avec laquelle elle aurait pu parler. Par ailleurs, elle était en possession d’un téléphone portable et a d’ailleurs aisément pu contacter un ami rencontré à Divonne, lorsqu’elle a quitté son employeur. L’appelante s’est en outre contredite sur plusieurs points. Ainsi, elle a prétendu qu’elle n’avait pu sortir que deux fois de l’appartement : la première fois pour accompagner la prévenue et sa famille au restaurant, la seconde fois pour aller dehors avec l’enfant car la nourrice était malade (cf. PV aud. 1), pour ensuite reconnaître que durant son séjour à C***, elle se rendait au jardin le matin avec l’enfant pour ne pas déranger la prévenue qui dormait, et qu’ensuite elle partait au bord du lac avec l’enfant, les deux cousins de ce dernier et leur nourrice et ne rentrait à la maison que vers 13J010</w:t>
      </w:r>
    </w:p>
    <w:p>
      <w:r>
        <w:t>- 28 - 11 heures (cf. PV aud. 2). Aux débats, elle a ajouté qu’elle s’était rendue à deux reprises au restaurant, à Divonne, avec les enfants et l’autre nourrice (cf. jgt p. 11). Par ailleurs, lors de ses auditions devant la police, puis devant le Ministère public, l’appelante a déclaré qu’à son arrivée au Koweït, elle avait tout de suite travaillé pour la prévenue, alors que l’on sait par un témoignage écrit versé au dossier (cf. P. 50/1) qu’elle a dans un premier temps travaillé pour une personne âgée, ce qu’elle a d’ailleurs admis aux débats en précisant que cette activité n’avait duré que quelques jours (cf. jgt p. 11). Les trois personnes entendues aux débats de première instance, à savoir le frère de la prévenue, une femme de chambre et le chauffeur de la prévenue, ont tous déclaré que celle-ci était respectueuse avec le personnel et qu’ils n’avaient pas observé de mauvais comportements envers l’appelante. Ces témoignages doivent certes être appréciés avec précaution, dès lors qu’il s’agit de proches ou de personnes qui dépendent de la prévenue. Toutefois, comme les premiers juges, on doit constater que les employés entendus sont satisfaits de leurs conditions de travail, puisqu’ils sont au service de la famille depuis respectivement 22 ans pour un témoin et 26 ans pour l’autre. Par ailleurs, il résulte de la P. 31 que la prévenue bénéficie d’un personnel important, ce qui tend plutôt à démontrer que l’appelante n’était pas chargée de toutes les tâches domestiques de la maison, contrairement à ses allégations. En outre, la prévenue a produit des échanges avec une ancienne employée, qui démontrent l’attachement de cette dernière envers l’intimée (cf. P. 74). L’appelante a quitté la famille D.________ le 14 août 2016, affirmant à la fois avoir sauté du balcon pour s’échapper, et avoir voulu se suicider et ayant appelé un ami pour qu’il l’aide. Elle n’a toutefois fait entendre aucun témoin ayant assisté à sa fuite et ayant recueilli ses confidences à cette époque. Elle était pourtant en contact avec un homme, rencontré dans un restaurant indien et qui, avec son épouse, l’aurait hébergée quelque temps. Or, l’appelante s’est montrée dans l’incapacité de communiquer les coordonnées de ce couple, qu’il s’agisse de leur adresse ou simplement de leur numéro de téléphone, qu’elle connaissait pourtant 13J010</w:t>
      </w:r>
    </w:p>
    <w:p>
      <w:r>
        <w:t>- 29 - puisque, selon ses dires, l’homme le lui avait donné lors de leur première rencontre. En outre, l’appelante n’est pas parvenue à expliquer pour quel motif elle n’était pas restée en contact avec ces personnes. Le 16 août 2016, l’ami de l’appelante a contacté la police afin de pouvoir récupérer le passeport de cette dernière. Les faits étant peu compréhensibles, la police a demandé à l’intéressée de passer au poste, ce qu’elle a fait. Devant les agents, elle a juste expliqué vouloir récupérer son passeport, sans rien raconter par rapport à ce qu’elle avait pu vivre. Cela parait étrange, notamment au regard de la brûlure subie quelques jours auparavant (cf. P. 23). L’appelante a déposé plainte pénale plus de 4 ans après les faits. Durant cette période, elle est demeurée en Suisse, sans permis de séjour et avec un passeport échu (cf. P. 4/2 p. 9). Ce n’est qu’après avoir été prise en charge par le refuge pour femmes du Cœur des Grottes, puis par Astrée, et informée de ses droits – notamment du droit des victimes de traite ou d’exploitation à bénéficier d’un titre de séjour durant la procédure pénale (cf. art. 30 let. e LEI [loi fédérale sur les étrangers et l’intégration du 16 décembre 2005 ; RS 142.20] et 36 al. 2 OASA [ordonnance relative à l’admission, au séjour et à l’exercice d’une activité lucrative du 24 octobre 2007 ; RS 142.201]) – que l’appelante s’est décidée à porter plainte. Lors de son audition par le Ministère public le 28 juin 2021, elle a d’ailleurs remercié cette autorité « de [lui] avoir donné un permis » (cf. PV aud. 2, l. 169). Cette temporalité interpelle et peut également faire douter des déclarations de l’intéressée. En effet, d’une part, elle n’a jamais eu l’intention de retourner dans son pays d’origine, indiquant qu’elle souhaitait pouvoir rester en Suisse et y travailler, n’ayant « pas d’avenir en Inde » (PV aud. 1, R. 18). D’autre part, l’appelante savait que son contrat de travail auprès de la famille de la prévenue arrivait à échéance en septembre 2016. Au regard des éléments précités, il existe un doute quant à la réalité des accusations portées contre la prévenue. Certes, la plaignante a bien été brûlée, comme elle l’affirme, puisqu’elle a bénéficié de soins. Le certificat médical produit n’indique toutefois pas les circonstances des 13J010</w:t>
      </w:r>
    </w:p>
    <w:p>
      <w:r>
        <w:t>- 30 - brûlures. L’appelante a également fait entendre la directrice de l’association Astrée, qui a indiqué qu’elle était convaincue par le récit de la plaignante, qui semblait atteinte par ce qu’elle avait vécu et dont le discours était cohérent par rapport aux observations générales d’Astrée. Ce témoignage indirect ainsi que les quelques contradictions insignifiantes dans les déclarations de la prévenue ne suffisent pas à effacer les doutes, au regard de l’ensemble des éléments du dossier.</w:t>
      </w:r>
    </w:p>
    <w:p>
      <w:r>
        <w:rPr>
          <w:b/>
        </w:rPr>
        <w:t>E. 6</w:t>
      </w:r>
    </w:p>
    <w:p>
      <w:r>
        <w:t>Au vu de ce qui précède, les appels de la partie plaignante et du Ministère public doivent être rejetés et le jugement entrepris intégralement confirmé. Le conseil juridique gratuit de l’appelante a produit une liste d’opérations dont il n’y a pas lieu de s’écarter, si ce n’est pour y ajouter le temps consacré à l’audience d’appel, à hauteur de 3 heures. C’est ainsi une indemnité de 4’049 fr. 55 qui sera allouée à Me Coralie Germond pour la procédure d’appel, correspondant à 19 heures et 45 minutes d’avocat au tarif horaire de 180 fr., par 3'555 fr., à 71 fr. 10 de débours au taux forfaitaire de 2 % (cf. art. 3bis al. 1 RAJ [règlement sur l’assistance judiciaire en matière civile du 7 décembre 2010 ; BLV 211.02.3], applicable par renvoi de l’art. 26b TFIP [tarif des frais de procédure et indemnités en matière pénale du 28 septembre 2010 ; BLV 312.03.1]), à 120 fr. de vacation et à 303 fr. 43 de TVA au taux de 8,1 % sur le tout. Vu l’issue de la cause, les frais de la procédure d’appel, par 6’399 fr. 55, constitués des émoluments de jugement et d’audience, par 2’350 fr. (art. 21 al. 1 et 2 TFIP), ainsi que de l’indemnité précitée, sont mis par moitié, soit par 3’199 fr. 80, à la charge de l’appelante, qui succombe, le solde étant laissé à la charge de l’Etat. L’appelante sera tenue de rembourser à l’Etat la moitié de l’indemnité allouée à son conseil juridique gratuit dès que sa situation financière le permettra (art. 135 al. 4 CPP). 13J010</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