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PE20.018758 vom 28. Februar 2022</w:t>
      </w:r>
    </w:p>
    <w:p>
      <w:r>
        <w:t>VD Tribunal cantonal, 2022-02-28, FR</w:t>
      </w:r>
    </w:p>
    <w:p>
      <w:r>
        <w:rPr>
          <w:b/>
        </w:rPr>
        <w:t xml:space="preserve">Quelle: </w:t>
      </w:r>
      <w:r>
        <w:t>https://mcp.opencaselaw.ch/entscheid/vd_gerichte_PE20.018758</w:t>
      </w:r>
    </w:p>
    <w:p>
      <w:r>
        <w:t>FR: VD_GERICHTE PE20.018758 du 28 février 2022</w:t>
      </w:r>
    </w:p>
    <w:p>
      <w:r>
        <w:t>IT: VD_GERICHTE PE20.018758 del 28 febbraio 2022</w:t>
      </w:r>
    </w:p>
    <w:p>
      <w:pPr>
        <w:pStyle w:val="Heading2"/>
      </w:pPr>
      <w:r>
        <w:t>Erwägungen</w:t>
      </w:r>
    </w:p>
    <w:p>
      <w:r>
        <w:rPr>
          <w:b/>
        </w:rPr>
        <w:t>E. 1.1</w:t>
      </w:r>
    </w:p>
    <w:p>
      <w:r>
        <w:t>Interjetés dans les formes et délais légaux (art. 385 al. 1 et 399 CPP) par des parties ayant la qualité pour recourir contre le jugement d'un tribunal de première instance qui a clos la procédure (art. 398 al. 1 CPP), les appels de K.________ et d’A.________ sont recevables.</w:t>
      </w:r>
    </w:p>
    <w:p>
      <w:r>
        <w:rPr>
          <w:b/>
        </w:rPr>
        <w:t>E. 1.2</w:t>
      </w:r>
    </w:p>
    <w:p>
      <w:r>
        <w:t>; TF 6B_952/2019 du 11 décembre 2019 consid. 2.1).</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A [...], le 9 février 2020, vers 15h20, alors qu’A.________ se trouvait à la salle [...] en tant qu’entraîneur de l’équipe de [...], sa fille lui a rapporté que K.________, speaker auprès du club [...], lui avait dit, en parlant de son père : « votre président c’est un menteur et un connard. Il ne faut pas lui faire confiance », puis « quand est-ce qu’on va leur descendre leur banderole de merde ». [...], qui était aux côtés de K.________, a rajouté, toujours en parlant d’A.________ : « si je pouvais je lui casserais bien l’autre jambe ». A.________ a alors regardé K.________ qui lui a fait un doigt d’honneur ou un autre geste insultant, puis s’est approché de lui en l’invectivant. Les deux hommes se sont retrouvés torse contre torse et A.________ a craché au visage de K.________. Par la suite, ils se sont empoignés et battus, se donnant mutuellement des coups de poings et/ou des gifles, sans que l’on puisse déterminer avec certitude qui a porté le premier coup. Durant l’altercation, A.________, qui avait lâché ou perdu ses béquilles, a été déséquilibré, provoquant la chute des deux hommes au sol, qui ont continué à se donner des coups avant d’être séparés. A.________ et K.________ ont porté plainte l’un contre l’autre le 14 février 2020 et se sont constitués chacun partie civile.</w:t>
      </w:r>
    </w:p>
    <w:p>
      <w:r>
        <w:rPr>
          <w:b/>
        </w:rPr>
        <w:t>E. 2.2</w:t>
      </w:r>
    </w:p>
    <w:p>
      <w:r>
        <w:t>Selon le constat médical de l’unité de médecine des violences du 11 février 2020, A.________, qui a été en incapacité de travail à 100 % du 9 février au 14 avril 2020 à la suite des faits susmentionnés, a souffert de contusion du 5e métacarpien de la main droite et d’une ecchymose verte violacée sur la partie interne du genou gauche. Le rapport du CIR du 9 mars 2020, établi à la suite d’une IRM du genou gauche d’A.________, consécutive à des douleurs persistantes, a fait état d’une fracture non déplacée du plateau tibial antérieur et interne, ainsi que d’une contusion osseuse du condyle fémoral interne sur 2 cm. Ensuite, selon un certificat</w:t>
      </w:r>
    </w:p>
    <w:p>
      <w:r>
        <w:t>- 6 - médical du 13 mars 2020, l’état de santé du prénommé a nécessité l’utilisation d’une chaise roulante pour ses déplacements, étant précisé qu’il lui était interdit (médicalement) de se déplacer autrement jusqu’au 7 avril 2020 ; ce certificat ne prohibait toutefois pas une station debout ponctuelle. Enfin, il ressort d’une attestation du Département de psychiatrie du [...] du 22 avril 2020, qu’A.________, ensuite des évènements précités du 9 février 2020, a présenté un trouble lié à des traumatismes ou à des facteurs de stress, non spécifié. K.________ a quant à lui souffert d’un traumatisme cranio- cérébral, d’un syndrome post-commotionnel, de lésions cutanées périorbitaires et périauriculaires droites, de griffures sur le visage et d’une tuméfaction latérale de l’œil gauche. Il a fait l’objet d’un arrêt de travail à 100 % du 10 au 24 février 2020 puis à 50 %. Il a également subi un stress post-traumatique – attaques de panique régulières, insomnies et tendance à l’épuisement – pour lequel il a suivi un traitement psychiatrique (PV aud. 5, annexe). En d roit : 1.</w:t>
      </w:r>
    </w:p>
    <w:p>
      <w:r>
        <w:rPr>
          <w:b/>
        </w:rPr>
        <w:t>E. 3.1</w:t>
      </w:r>
    </w:p>
    <w:p>
      <w:r>
        <w:t>Les deux appelants se plaignent de l’établissement incorrect des faits. Chacun d’eux soutient en substance qu’une analyse correcte des preuves aurait dû conduire le tribunal à constater qu’il n’avait été que victime dans cette affaire, que c’est l’autre qui a provoqué et frappé et que lui-même a souffert alors que les lésions de l’autre ne sont que simulations et mensonges. A l’appui de son analyse, chaque appelant se prévaut de ses témoignages, qui seraient seuls crédibles, au contraire de ceux de ses opposants.</w:t>
      </w:r>
    </w:p>
    <w:p>
      <w:r>
        <w:rPr>
          <w:b/>
        </w:rPr>
        <w:t>E. 3.2.1</w:t>
      </w:r>
    </w:p>
    <w:p>
      <w:r>
        <w:t>La constatation des faits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w:t>
      </w:r>
    </w:p>
    <w:p>
      <w:r>
        <w:t>- 8 - Code de procédure pénale suisse [ci-après : CR CPP], 2e éd., Bâle 2019, n. 19 ad art. 398 CPP).</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CR CPP, op. cit.,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w:t>
      </w:r>
    </w:p>
    <w:p>
      <w:r>
        <w:t>- 9 -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3.3.1</w:t>
      </w:r>
    </w:p>
    <w:p>
      <w:r>
        <w:t>En l’espèce, le dossier présente un certain nombre de témoignages qui ne sont pas pertinents pour la résolution du litige. C’est tout d’abord le cas d’[...], qui n’a rien vu de déterminant (PV aud. jugt, p. 14), quoi qu’en dise K.________. On ne peut en effet rien tirer des dépositions de ce témoin qui aurait une incidence décisive sur le sort de la cause. En particulier, ses déclarations écrites adressées au juge sportif n’ont pas la portée que cet appelant leur prête, dès lors que ledit témoin a indiqué avoir vu les deux hommes dans un « conflit physique » alors qu’ils étaient déjà « au sol », précisant que « cette situation n’était pas claire pour [lui] » (P. 21/2). Ce document est d’autant moins utile que son auteur a reconnu qu’on lui avait « suggéré de remplacer certains termes », ce qu’il avait fait avant de signer (PV aud. jugt, p. 14). C’est donc à tort que K.________ reproche au premier juge de n’avoir pas tenu compte de ce témoignage. Quant à [...], elle a vu les deux hommes se battre, mais sans pouvoir dire qui avait donné le premier coup (PV aud. 8, R. 5 et 16). Le fait qu’A.________ était, selon elle, « hors de lui » et qu’il y avait « de la folie » dans ses yeux ou encore que K.________ était « très choqué » (PV aud. 8, R. 11) n’est pas pertinent à cet égard, pas plus que le fait que ce dernier aurait dit à K.________ « on se retrouvera » (PV aud. 8, R. 5), ce témoin ayant expressément nié avoir entendu A.________ proférer des menaces (PV aud. 8, R. 11). De l’aveu même de K.________, le témoignage de [...] n’amène aucun élément déterminant sur le déroulement des faits, comme l’a constaté le tribunal (jugt, p. 30 in fine).</w:t>
      </w:r>
    </w:p>
    <w:p>
      <w:r>
        <w:t>- 10 - Il en va de même du témoignage de [...] – ami de la fille d’A.________ –, qui a déclaré qu’il était à une quinzaine de mètres des deux hommes, que lorsqu’il s’était approché d’eux, ceux-ci étaient déjà à terre et qu’il ne se souvenait pas du début de l’altercation (PV aud. jugt, p. 19). On peut tout au plus retenir qu’il mentionne un geste qu’il a interprété comme provocateur de la part de K.________ avant la bagarre (ibidem), ce qui a du reste été retenu sur d’autres bases par le tribunal (jugt, p. 31).</w:t>
      </w:r>
    </w:p>
    <w:p>
      <w:r>
        <w:rPr>
          <w:b/>
        </w:rPr>
        <w:t>E. 3.3.2</w:t>
      </w:r>
    </w:p>
    <w:p>
      <w:r>
        <w:t>Il reste donc trois témoins, [...], soit les trois dépositions analysées par le tribunal pour forger sa conviction.K.________ fait valoir que [...] serait le « témoin-clé » (appel K.________, pp. 4-6) alors que pour A.________, ce témoin n’est pas du tout crédible et il faudrait lui préférer la version présentée par sa propre fille, [...] (appel A.________, pp. 13-15), dont les déclarations ne revêtent aucune force probante aux yeux de K.________ (appel K.________, p. 8). L’analyse du premier juge est dans l’ensemble convaincante. En précisant que [...] est une connaissance de K.________, avec lequel il discutait avant l’altercation, on ne comprend en effet pas pourquoi, si ce dernier avait simplement fait un geste de « coucou » en direction d’A.________, celui-ci aurait alors traversé la salle et se serait mis torse contre torse en face de K.________ avant de lui cracher au visage. Il n’y a pas de doute sur le fait que le geste de K.________ était en tout cas provocateur, voire injurieux, comme le décrit le témoin [...] (PV aud. jugt, p. 15). En outre, contrairement à ce que soutient A.________ (appel A.________, p. 14), le fait que les autres témoins dont il se prévaut n’ont pas vu de crachat ne signifie pas qu’il n’y en ait pas eu. Il est donc correct, comme l’affirme le jugement, que sur ce point, les déclarations du témoin [...] (PV aud. 3, R. 5 et 6) ne sont contredites par aucun des autres témoins (jugt, p. 30). Ensuite, les témoignages de [...], ami d’A.________, qui a dit que l’auteur du premier coup était K.________, et de [...], qui a affirmé que l’auteur du premier coup était A.________, sont irrémédiablement contradictoires et aucun ne bénéficie d’une force probante accrue par rapport à l’autre. On ne peut rien tirer non plus du témoignage de [...], qui</w:t>
      </w:r>
    </w:p>
    <w:p>
      <w:r>
        <w:t>- 11 - a déclaré que son père avait été frappé en premier par K.________ et qu’il n’avait fait que se défendre en repoussant son adversaire avec ses mains, sans donner de coup ; on ne comprend pas comment, si l’on suit la version de ce témoin, le simple fait de repousser K.________ avec ses mains aurait causé à ce dernier un traumatisme cranio-cérébral, comme cela ressort du dossier. Le fait que ce témoin ait déclaré se trouver juste derrière son père, d’où elle a pu observer le début de l’altercation, n’y change rien, tant il est vrai que ses déclarations sont en totale contradiction avec celles de [...], qui était quant à lui, à ce moment-là, à côté de K.________, avec lequel il discutait (PV aud. 3, R. 5). Pour ce motif, on ne saurait retenir un crachat de la part de ce dernier ; au demeurant, même à admettre ce fait, cela ne changerait finalement rien au sort de l’affaire. On peut donc uniquement retenir que des coups ont été échangés par les prévenus, sans qu’on puisse déterminer avec certitude qui a donné le premier coup. On ne sait en particulier pas si A.________ a lâché ses béquilles pour frapper son adversaire ou s’il les a perdues ensuite d’un premier coup reçu, selon les versions soutenues en appel. Quant aux divers certificats médicaux produits par les appelants, ils ne démontrent pas, comme ceux- ci le soutiennent, que l’un ou l’autre n’a pas pu se défendre lors de l’altercation, respectivement qui a fait l’objet, en premier, d’une attaque de la part de son adversaire, mais bien plutôt qu’il y a eu un échange de coups, comme on vient de le voir. Bref, l’analyse des preuves opérée par le premier juge est correcte, de sorte que l’état de fait décrit dans le jugement doit être confirmé. Il est indéniable que les atteintes subies par les deux protagonistes constituent manifestement des lésions corporelles simples au sens de l’art. 123 ch. 1 CP, compte tenu de leur nature et de l’ampleur des soins et des incapacités de travail qu’elles ont engendrées, ce qui n’est en soi pas contesté. La condamnation de K.________ pour injure, au sens de l’art. 177 al. 1 CP, doit également être confirmée, la Cour de céans, à l’instar du</w:t>
      </w:r>
    </w:p>
    <w:p>
      <w:r>
        <w:t>- 12 - premier juge, étant persuadée que le prénommé voulait provoquer A.________ et l’atteindre dans son honneur en lui adressant un geste insultant. Enfin, le fait pour A.________ de cracher au visage de son adversaire réalise les voies de fait au sens de l’art. 126 al. 1 CP, ce qui n’est pas non plus contesté en soi (cf. TF 6B_883/2018 du 18 décembre 2018 consid. 1.3 ; TF 6B_507/2008 du 27 août 2008 consid. 6.2).</w:t>
      </w:r>
    </w:p>
    <w:p>
      <w:r>
        <w:rPr>
          <w:b/>
        </w:rPr>
        <w:t>E. 4.1</w:t>
      </w:r>
    </w:p>
    <w:p>
      <w:r>
        <w:t>A.________ invoque la légitime défense.</w:t>
      </w:r>
    </w:p>
    <w:p>
      <w:r>
        <w:rPr>
          <w:b/>
        </w:rPr>
        <w:t>E. 4.2</w:t>
      </w:r>
    </w:p>
    <w:p>
      <w:r>
        <w:t>Aux termes de l'art. 15 CP, quiconque, de manière contraire au droit, est attaqué ou menacé d'une attaque imminente a le droit de repousser l'attaque par des moyens proportionnés aux circonstances. Le fait justificatif de l’art. 15 CP ne peut être invoqué par le provocateur, soit celui qui fait en sorte d’être attaqué pour pouvoir ensuite porter atteinte aux biens juridiques de tiers sous le couvert de la légitime défense (Gilles Monnier in : Commentaire romand, Code pénal I, 2e éd., Bâle 2021, n. 22 ad art. 15 CP).</w:t>
      </w:r>
    </w:p>
    <w:p>
      <w:r>
        <w:rPr>
          <w:b/>
        </w:rPr>
        <w:t>E. 4.3</w:t>
      </w:r>
    </w:p>
    <w:p>
      <w:r>
        <w:t>En l’espèce, A.________ plaide la légitime défense pour la séquence des faits « où les parties se trouvaient au sol » (appel A.________, p. 5), partant du principe qu’il n’a donné aucun coup dans la phase initiale de l’altercation, ce qui est faux, comme on l’a vu. Pour le surplus, l’état de fait devant être confirmé, A.________ apparaît comme l’initiateur ou l’un des initiateurs de la confrontation physique, dès lors qu’il a craché au visage de K.________ avant l’échange de coups. Cette attaque suffit à exclure sa prétendue légitime défense.</w:t>
      </w:r>
    </w:p>
    <w:p>
      <w:r>
        <w:rPr>
          <w:b/>
        </w:rPr>
        <w:t>E. 5</w:t>
      </w:r>
    </w:p>
    <w:p>
      <w:r>
        <w:t>L’appelant A.________ soutient encore que K.________ aurait dû être condamné pour diffamation ou calomnie pour l’avoir traité de « menteur ». Cependant, comme le relève le jugement (p. 35) et</w:t>
      </w:r>
    </w:p>
    <w:p>
      <w:r>
        <w:t>- 13 - l’appelant lui-même (appel A.________, p. 17), K.________ n’était pas renvoyé pour ces infractions. Il ne ressort en tout cas pas du procès-verbal d’audience qu’A.________ aurait requis que le tribunal se réserve de retenir les infractions de diffamation ou de calomnie. Le tribunal ne pouvait donc pas condamner K.________ pour ces infractions.</w:t>
      </w:r>
    </w:p>
    <w:p>
      <w:r>
        <w:rPr>
          <w:b/>
        </w:rPr>
        <w:t>E. 6</w:t>
      </w:r>
    </w:p>
    <w:p>
      <w:r>
        <w:t>Les appelants, qui concluent à leur acquittement, ne contestent pas les peines en tant que telles. Vérifiées d'office, au vu des faits retenus, les peines pécuniaires de 50 jours-amende sanctionnant l’infraction de lésions corporelles simples pour chacun d’eux, auxquelles s’ajoutent pour K.________ 5 jours-amende supplémentaires pour réprimer l’injure, demeurent adéquates. Ces peines sont conformes à la culpabilité de chaque prévenu et répondent ainsi aux exigences de l’art. 47 CP et à la jurisprudence y relative (ATF 141 IV 61 consid. 6.1.1 et les arrêts cités). Il y a donc lieu de confirmer la quotité des peines prononcées. Compte tenu de la situation financière des appelants, le montant du jour-amende, fixé à 100 fr., peut aussi être confirmé. Les prévenus persistant dans leurs dénégations, se posant en victimes, c’est à juste titre que le premier juge a assorti les peines d’un sursis d’une durée de trois ans. Enfin, tant l’amende fixée à 700 fr. pourK.________ à titre de sanction immédiate que celle arrêtée à 1'000 fr. pour A.________, réprimant l’infraction de voies de fait, sont également adéquates et peuvent être confirmées, ainsi que les peines privatives de liberté de substitution de respectivement 7 et 10 jours en cas de non-paiement fautif.</w:t>
      </w:r>
    </w:p>
    <w:p>
      <w:r>
        <w:rPr>
          <w:b/>
        </w:rPr>
        <w:t>E. 7.1</w:t>
      </w:r>
    </w:p>
    <w:p>
      <w:r>
        <w:t>Les appelants contestent tous deux les lésions de l’autre, pourtant attestées par des certificats médicaux dont il n’y a pas lieu de mettre en doute la véracité, l’ensemble des témoins décrivant par ailleurs la violence des coups portés de part et d’autre. En particulier, on relèvera que c’est ensuite d’une IRM du genou gauche d’A.________, consécutive à des douleurs persistantes, qu’il a été constaté une fracture non déplacée du plateau tibial antérieur et interne ainsi qu’une contusion osseuse (P. 16), de sorte que c’est à tort que K.________ fait valoir que cette fracture</w:t>
      </w:r>
    </w:p>
    <w:p>
      <w:r>
        <w:t>- 14 - ne serait pas en lien de causalité avec les événements litigieux du</w:t>
      </w:r>
    </w:p>
    <w:p>
      <w:r>
        <w:rPr>
          <w:b/>
        </w:rPr>
        <w:t>E. 7.2</w:t>
      </w:r>
    </w:p>
    <w:p>
      <w:r>
        <w:t>L’appelant A.________ réclame 25'000 fr. de réparation morale comme conséquence de son acquittement (appel, p. 17-18). Cette prémisse ne se réalisant pas, la prétention doit être écartée. Pour le reste, les indemnités allouées par le tribunal à titre de réparation morale, soit 2'500 fr. pour K.________ et 5'000 fr. pour A.________, sont adéquates et peuvent être confirmées. C’est également à juste titre que le premier juge a considéré que les indemnités au sens de l’art. 433 CPP, auxquelles chacun des prévenus avait droit en sa qualité de victime, devaient être compensées, le contexte de faits étant identique et les positions juridiques de l’un et de l’autre étant similaires. 8. Enfin, les appelants ne demandent la suppression des frais judiciaires mis à leur charge que dans l’hypothèse non réalisée de leur acquittement. Leurs prétentions doivent en conséquence être rejetées.</w:t>
      </w:r>
    </w:p>
    <w:p>
      <w:r>
        <w:rPr>
          <w:b/>
        </w:rPr>
        <w:t>E. 9</w:t>
      </w:r>
    </w:p>
    <w:p>
      <w:r>
        <w:t>En définitive, les appels doivent être rejetés et le jugement attaqué intégralement confirmé, à l’exception des chiffres du dispositif suivant le chiffre VII qui doivent être renumérotés correctement. Les condamnations des deux prévenus étant confirmées, il n’y a pas matière à indemnisation selon les art. 429 ou 433 CPP. Vu le sort de la cause, les frais de la procédure d'appel, constitués en l’espèce du seul émolument d’arrêt par 1'540 fr. (art. 21 al. 1 TFIP [tarif des frais de procédure et indemnités en matière pénale du 28 septembre 2010 ; BLV 312.03.1]), seront assumés à parts égales par les appelants, soit par 770 fr. chacun (art. 428 al. 1 CPP).</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