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PE20.018717 vom 15. Dezember 2020</w:t>
      </w:r>
    </w:p>
    <w:p>
      <w:r>
        <w:t>VD Tribunal cantonal, 2020-12-15, FR</w:t>
      </w:r>
    </w:p>
    <w:p>
      <w:r>
        <w:rPr>
          <w:b/>
        </w:rPr>
        <w:t xml:space="preserve">Quelle: </w:t>
      </w:r>
      <w:r>
        <w:t>https://mcp.opencaselaw.ch/entscheid/vd_gerichte_PE20.018717</w:t>
      </w:r>
    </w:p>
    <w:p>
      <w:r>
        <w:t>FR: VD_GERICHTE PE20.018717 du 15 décembre 2020</w:t>
      </w:r>
    </w:p>
    <w:p>
      <w:r>
        <w:t>IT: VD_GERICHTE PE20.018717 del 15 dicembre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w:t>
      </w:r>
    </w:p>
    <w:p>
      <w:r>
        <w:t>- 4 - Code de procédure pénale suisse du 19 mai 2009 ; BLV 312.01] ; art. 80 LOJV [loi d’organisation judiciaire du 12 décembre 1979 ; BLV 173.01]). En l'espèce, déposé en temps utile et dans les formes prescrites (art. 385 al. 1 CPP) devant l'autorité compétente par l’auteur des plaintes pénales, qui a qualité pour recourir (art. 382 al. 1 CPP), le recours est recevable.</w:t>
      </w:r>
    </w:p>
    <w:p>
      <w:r>
        <w:rPr>
          <w:b/>
        </w:rPr>
        <w:t>E. 2.1</w:t>
      </w:r>
    </w:p>
    <w:p>
      <w:r>
        <w:t>Le recourant fait valoir qu’il aurait été placé durant huit jours dans la même cellule qu’une personne suspectée d’être porteuse de la tuberculose, ce qui serait constitutif d’une mise en danger de sa santé. Par ailleurs, il aurait été contraint de porter un masque, sans pouvoir accéder à la dispense délivrée par son psychiatre.</w:t>
      </w:r>
    </w:p>
    <w:p>
      <w:r>
        <w:rPr>
          <w:b/>
        </w:rPr>
        <w:t>E. 2.2.1</w:t>
      </w:r>
    </w:p>
    <w:p>
      <w:r>
        <w:t>Conformément à l'art. 310 al. 1 let. a CPP, le Ministère public rend immédiatement – c'est-à-dire sans qu'une instruction soit ouverte (cf. not. CREP 28 octobre 2020/806 consid. 3.2) – une ordonnance de non- entrée en matière lorsqu'il apparaît, à réception de la dénonciation (cf. art. 301 s. CPP) ou de la plainte (Grodecki/Cornu, in Jeanneret/Kuhn/Perrier Depeursinge [édit.], Commentaire romand, Code de procédure pénale suisse, 2e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w:t>
      </w:r>
    </w:p>
    <w:p>
      <w:r>
        <w:t>- 5 -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122 CP (Code pénal suisse du 21 décembre 1937 ; RS 311.0),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w:t>
      </w:r>
    </w:p>
    <w:p>
      <w:r>
        <w:t>- 6 - Selon le Tribunal fédéral, eu égard à la grave altération de la santé physique et psychique qu'elle entraîne, à vie, la contamination par le VIH constitue une lésion corporelle grave au sens de la clause générale de l'art. 122 al. 3 CP (ATF 141IV 97 consid. 2.4, JdT 2015 IV 251). Constituent également des maladies dangereuses transmissibles la peste, le typhus, la variole, le choléra, la poliomyélite, la tuberculose, la diphtérie, l’hépatite B et C ou encore la scarlatine (Dupuis et al. [édit], Petit commentaire du Code pénal, 2e éd., Bâle 2017, n. 12 ad art. 231 CP et les réf. citées).</w:t>
      </w:r>
    </w:p>
    <w:p>
      <w:r>
        <w:rPr>
          <w:b/>
        </w:rPr>
        <w:t>E. 2.2.3.1</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JdT 1981 IV 106 ; plus récemment TF 6B_705/2020 du 12 août 2020 consid. 2.1) ni que l'auteur ait réellement la volonté de réaliser sa menace (ATF 105 IV 120 consid. 2a, JdT 1980 IV 115 ; TF 6B_406/2020 du 20 août 2020 consid. 2.1 ; TF 6B_705/2020, déjà cité, consid. 2.1). Selon la jurisprudence, la contrainte n'est contraire au droit que si elle est illicite (ATF 120 IV 17 consid. 2a et les réf. citées, JdT 1996 IV 125, SJ 1994 498),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JdT 2017 IV 141 ; ATF 137 IV 326 consid. 3.3.1, JdT 2012 IV 279 ; ATF 120 IV 17 consid. 2a/bb).</w:t>
      </w:r>
    </w:p>
    <w:p>
      <w:r>
        <w:t>- 7 -</w:t>
      </w:r>
    </w:p>
    <w:p>
      <w:r>
        <w:rPr>
          <w:b/>
        </w:rPr>
        <w:t>E. 2.2.3.2</w:t>
      </w:r>
    </w:p>
    <w:p>
      <w:r>
        <w:t>Les art. 3 et suivants de l’ordonnance sur les mesures destinées à lutter contre l’épidémie de COVID-19 en situation particulière (ordonnance COVID-19 situation particulière) du 19 juin 2020 (RS 818.101.26) règlent l’obligation du port du masque facial en Suisse. Au niveau cantonal, le port du masque était, au moment du dépôt des plaintes, réglé par l’arrêté d'application de l'ordonnance fédérale sur les mesures destinées à lutter contre l'épidémie de COVID-19 en situation particulière et sur certaines mesures cantonales complémentaires du Conseil d’Etat du Canton de Vaud du 1er juillet 2020 (BLV 818.00.010720.1) – abrogé ensuite de l’entrée en vigueur de l’arrêté du 11 décembre 2020 (BLV 818.00.111220.1). S’agissant enfin spécifiquement du port du masque en prison, l’art. 10 LEP (loi vaudoise sur l'exécution des condamnations pénales du 4 juillet 2006 ; BLV 340.01) prévoit notamment que les établissements pénitentiaires assurent la garde, l'hébergement et le traitement des personnes condamnées qui leur sont confiées, et participent à la réalisation des objectifs assignés à l'exécution des peines privatives de liberté et des mesures. L’art. 10 al. 3 LEP précise que sont définis dans un règlement, soit le RSPC (règlement sur le statut des personnes condamnées exécutant une peine privative de liberté ou une mesure du 16 août 2017 ; BLV 340.01.1), le statut des personnes condamnées et le régime de détention qui leur est applicable. L’art. 5 al. 3 RSPC prévoit que, dans tous les cas, la détention doit être organisée de manière à garantir la sécurité publique, celle du personnel pénitentiaire, des visiteurs, des personnes ayant reçu un mandat de l'administration pénitentiaire et des autres personnes détenues en prenant en considération la dangerosité, le cas échéant la pathologie, ainsi que le risque de fuite et de récidive que ces dernières présentent.</w:t>
      </w:r>
    </w:p>
    <w:p>
      <w:r>
        <w:rPr>
          <w:b/>
        </w:rPr>
        <w:t>E. 2.3</w:t>
      </w:r>
    </w:p>
    <w:p>
      <w:r>
        <w:t>En l’espèce, au vu des normes en vigueur et de la mission tendant à garantir la sécurité des détenus et du personnel pénitentiaire qui incombe aux établissements pénitentiaires, le port du masque peut à l’évidence être imposé de manière licite en prison. Par ailleurs, le</w:t>
      </w:r>
    </w:p>
    <w:p>
      <w:r>
        <w:t>- 8 - recourant, qui soutient qu’il aurait été dispensé du port du masque par son psychiatre, n’explique pas les éventuelles raisons de cette dispense ni n’expose en quoi le port du masque pourrait constituer un danger pour lui. Il se limite à faire valoir, abstraitement, qu’il aurait été dispensé par un médecin de porter un masque, ce qui n’est pas pertinent. L’infraction de contrainte n’est manifestement pas réalisée. Pour ce qui est du séjour en cellule avec un codétenu qui aurait pu s’avérer contaminé par la tuberculose, le recourant admet lui- même que celui-ci n’était pas malade. On ne voit dès lors pas en quoi la santé du recourant aurait été mise en danger, ce d’autant moins qu’il a lui-même fait valoir, dans sa plainte du 23 octobre 2020, que des tests avaient été pratiqués sur son codétenu. En l’absence de mise en danger de la santé du recourant, on ne décèle aucun soupçon de la commission d’une éventuelle infraction contre son intégrité corporelle. Il s’ensuit que c’est à raison que le Procureur général n’est pas entré en matière sur les plaintes du recourant.</w:t>
      </w:r>
    </w:p>
    <w:p>
      <w:r>
        <w:rPr>
          <w:b/>
        </w:rPr>
        <w:t>E. 3.1</w:t>
      </w:r>
    </w:p>
    <w:p>
      <w:r>
        <w:t>Au vu de ce qui précède, le recours, manifestement mal fondé, doit être rejeté sans échange d’écritures (art. 390 al. 2 CPP) et l’ordonnance entreprise confirmée.</w:t>
      </w:r>
    </w:p>
    <w:p>
      <w:r>
        <w:rPr>
          <w:b/>
        </w:rPr>
        <w:t>E. 3.2</w:t>
      </w:r>
    </w:p>
    <w:p>
      <w:r>
        <w:t>Vu le sort du recours et le recourant ayant procédé seul, il y a lieu de rejeter sa requête d’assistance judiciaire. Au surplus, le recourant ne fait valoir aucune conclusion civile en lien avec sa plainte, et une action civile est d’emblée vouée à l’échec (art. 136 al. 1 let. b CPP).</w:t>
      </w:r>
    </w:p>
    <w:p>
      <w:r>
        <w:rPr>
          <w:b/>
        </w:rPr>
        <w:t>E. 3.3</w:t>
      </w:r>
    </w:p>
    <w:p>
      <w:r>
        <w:t>Les frais d’arrêt,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L’ordonnance du 3 décembre 2020 est confirmée. III. La requête d’assistance judiciaire est rejetée. IV. Les frais d’arrêt, par 880 fr. (huit cent huitante francs), sont mis à la charge du recourant Z.________. V. L’arrêt est exécutoire. Le président : La greffière : Du Le présent arrêt, dont la rédaction a été approuvée à huis clos, est notifié, par l'envoi d'une copie complète, à : - Z.________, - M. le Procureur général,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