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PE20.018154 vom 2. September 2021</w:t>
      </w:r>
    </w:p>
    <w:p>
      <w:r>
        <w:t>VD Tribunal cantonal, 2021-09-02, FR</w:t>
      </w:r>
    </w:p>
    <w:p>
      <w:r>
        <w:rPr>
          <w:b/>
        </w:rPr>
        <w:t xml:space="preserve">Quelle: </w:t>
      </w:r>
      <w:r>
        <w:t>https://mcp.opencaselaw.ch/entscheid/vd_gerichte_PE20.018154</w:t>
      </w:r>
    </w:p>
    <w:p>
      <w:r>
        <w:t>FR: VD_GERICHTE PE20.018154 du 2 septembre 2021</w:t>
      </w:r>
    </w:p>
    <w:p>
      <w:r>
        <w:t>IT: VD_GERICHTE PE20.018154 del 2 settembre 2021</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peu importe que le procureur ait sollicité des précisions au sens de l’art. 110 al. 4 CPP à la suite de la première plainte du 14 août 2020 et que la plainte corrigée ait été déposée le 26 novembre 2020 seulement, le procureur n’ayant d’ailleurs pas considéré que ces plaintes étaient irrecevables. En outre, les plaintes sont suffisamment précises s’agissant des faits allégués à l’égard de l’entraîneuse J.________. Quant à l’autorité parentale, elle est conjointe selon le jugement civil du 17 mai 2018 (P. 4/7), ce qui suffit à admettre qu’A.________ était habilité à déposer plainte pour le compte de sa fille, ce qui n’a du reste pas été contesté par le procureur au moment du dépôt des plaintes. Pour le reste, interjeté dans le délai légal auprès de l’autorité compétente et dans les formes prescrites (art. 385 al. 1 CPP), par la partie plaignante qui a qualité pour recourir (art. 382 al. 1 CPP; ATF 140 IV 155 consid. 3.3.1), le recours d’A.________ est recevable.</w:t>
      </w:r>
    </w:p>
    <w:p>
      <w:r>
        <w:t>- 6 - La pièce nouvelle est également recevable s’agissant d’un recours contre une ordonnance de non-entrée en matière, la partie ayant toute liberté de faire valoir ses moyens en deuxième instance (TF 6B_1014/2020 du 10 février 2021 consid. 2.1.2 et les réf. citées).</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w:t>
      </w:r>
    </w:p>
    <w:p>
      <w:r>
        <w:t>- 7 - 2020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Dans le cas d’espèce, les seules infractions qui pourraient entrer en ligne de compte sont celles de lésions corporelles simples (art. 123 CP [Code pénal suisse du 21 décembre 1937 ; RS 311.0]) ou graves (art. 122 CP), commises par négligence (art. 125 CP), ainsi que de violation du devoir d’assistance ou d’éducation (art. 219 CP).</w:t>
      </w:r>
    </w:p>
    <w:p>
      <w:r>
        <w:rPr>
          <w:b/>
        </w:rPr>
        <w:t>E. 2.2.1</w:t>
      </w:r>
    </w:p>
    <w:p>
      <w:r>
        <w:t>Selon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L’alinéa 2 concerne toute diminution ou perte d’une faculté humaine subie par la victime, liée à des atteintes d’ordre physique ou psychique (TF 6B_675/2013 du 9 janvier 2014 consid. 3.2.1). L’atteinte doit être durable, voire permanente, ou son évolution difficilement prévisible, sans pour autant que la pathologie de la victime ne soit censée apparaître comme étant définitivement incurable (Dupuis et alii [éd.], Petit commentaire CP, 2e éd., Bâle 2017, n. 13 ad art. 122 CP et les références citées). Les lésions corporelles graves supposent une infirmité, ce qui implique qu’une fonction du corps humain est paralysée ou gravement restreinte ; il n’est cependant pas nécessaire que cette fonction soit importante (cf. Corboz, Les infractions en droit suisse, vol. I, Berne 2010, n. 10 ad art. 122 CP).</w:t>
      </w:r>
    </w:p>
    <w:p>
      <w:r>
        <w:t>- 8 - Afin de déterminer la gravité des lésions, il faut notamment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6B_1003/2018 du 18 décembre 2018 consid. 1.2.4 ; TF 6B_447/2014 du 30 octobre 2014 consid. 3.2.1 ; TF 6B_675/2013 du 9 janvier 2014 consid. 3.2.1 et la référence citée).</w:t>
      </w:r>
    </w:p>
    <w:p>
      <w:r>
        <w:rPr>
          <w:b/>
        </w:rPr>
        <w:t>E. 2.2.2</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En vertu de l'art. 123 ch. 2 al. 3 CP, les lésions corporelles simples se poursuivent d'office si l'auteur s’en est pris à une personne, notamment à un enfant, dont il avait la garde ou sur laquelle il avait le devoir de veiller.</w:t>
      </w:r>
    </w:p>
    <w:p>
      <w:r>
        <w:rPr>
          <w:b/>
        </w:rPr>
        <w:t>E. 2.2.3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est réalisée lorsque trois éléments constitutifs sont réunis : une négligence, soit une violation des devoirs de la prudence, commise par l'auteur ; des lésions corporelles subies par la victime ; un lien de causalité naturelle et adéquate entre la négligence et les lésions (Corboz, op. cit., nn. 2 à 7 ad art. 125 CP ; Dupuis et alii [éd.], op. cit., n. 2 ad art. 125 CP).</w:t>
      </w:r>
    </w:p>
    <w:p>
      <w:r>
        <w:rPr>
          <w:b/>
        </w:rPr>
        <w:t>E. 2.2.4</w:t>
      </w:r>
    </w:p>
    <w:p>
      <w:r>
        <w:t>Selon l’art. 219 al. 1 CP, celui qui aura violé son devoir d’assister ou d’élever une personne mineure dont il aura ainsi mis en</w:t>
      </w:r>
    </w:p>
    <w:p>
      <w:r>
        <w:t>- 9 -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 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w:t>
      </w:r>
    </w:p>
    <w:p>
      <w:r>
        <w:t>- 10 - 443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2.3.1</w:t>
      </w:r>
    </w:p>
    <w:p>
      <w:r>
        <w:t>En l’occurrence, il est nécessaire, en premier lieu, d’examiner d’office la question de la compétence des autorités de poursuite pénale vaudoises à raison du lieu, même si cette question n’a pas été soulevée, dès lors que parmi les conditions à l’ouverture de l’action pénale figure la compétence du juge à raison du lieu (Moreillon/Parein-Reymond, Petit commentaire CPP, 2e éd., Bâle 2016, n. 13 ad art. 310 CPP, par renvoi aux art. 31 à 42 CPP ; CREP du 16 mai 2018/367 consid. 2.2 ; CREP 4 août 2017/533 consid. 2.3). Dans le cas d’espèce, le for vaudois est donné, à tout le moins au stade des premières investigations, dans la mesure où, à la lumière des éléments qui ressortent du dossier et dans le cadre limité de l’admission du recours (cf. consid. 2.3.2 infra), les entraînements de S.________ avaient lieu dans une large mesure dans le canton de Vaud, même si la prénommée a subi la première fracture à [...].</w:t>
      </w:r>
    </w:p>
    <w:p>
      <w:r>
        <w:rPr>
          <w:b/>
        </w:rPr>
        <w:t>E. 2.3.2</w:t>
      </w:r>
    </w:p>
    <w:p>
      <w:r>
        <w:t>S’agissant des reproches formulés par le recourant, on relèvera tout d’abord que l’article du T.________ du [...] 2020, sur lequel s’est notamment fondé A.________ pour déposer sa plainte, indiquait non seulement que la Fédération de B.________ avait dû intervenir et licencier l’entraîneuse de l’équipe nationale en raison de maltraitances à l’égard de</w:t>
      </w:r>
    </w:p>
    <w:p>
      <w:r>
        <w:t>- 11 - jeunes [...], mais citait aussi expressément deux filles, dont S.________, laquelle aurait vécu des expériences semblables (P. 4/3, p. 2). L’article ajoutait que la mère de S.________ avait décidé de retirer sa fille de l’équipe de relève dont la direction allait être reprise par J.________, soit l’entraîneuse cheffe du [...] depuis 2017 et désignée cheffe de l’équipe suisse Junior, le travail de cette dernière n’étant selon U.________ pas du tout adapté aux enfants (ibidem). Le recourant s’est en outre fondé sur des confidences de son ex-épouse qui, en réponse à ses questions, lui aurait dit que leur fille S.________ s’était cassé le pied en novembre 2018 sous la supervision de J.________ et qu’elle aurait subi une fracture de fatigue au même endroit en décembre 2019 en raison d’un manque d’échauffement, voire d’un enseignement volontairement inapproprié de l’entraîneuse. A cela s’ajoutent les certificats médicaux et autres rapports figurant au dossier qui font notamment état d’une fracture partielle du « bord interne de l’os naviculaire » ainsi que d’une « fracture de contrainte » (P. 4/2 et 13/4 à 13/8) et selon lesquels « la participation de S.________ (…) au projet [...] de l’Equipe Suisse Junior avec l’entraîneur actuellement en place (…) semble peu indiquée » (P. 4/2). Enfin et surtout, dans son rapport du 11 décembre 2020 à la Fondation [...] (P 27/2/2), l’enquêtrice, l’avocate [...], a confirmé que s’il n’y avait pas eu maltraitance physique active à l’encontre de S.________, l’entraîneuse J.________ n’avait toutefois pas respecté l’intégrité physique de la jeune fille, n’ayant pas offert de suivi médical à la suite des blessures accidentelles de cette dernière. A cela s’ajoutait que les techniques de l’entraîneuse n’étaient pas adéquates car elle ne laissait pas assez de temps pour l’échauffement, obligeant S.________ à se rendre dans les toilettes pour s’échauffer en cachette. L’entraîneuse l’aurait en outre encouragée à ne pas porter sa bottine de soutien adaptée par le médecin suite à une fracture de fatigue et elle ne respectait pas l’état de fatigue et d’épuisement lors des compétitions. En revanche, l’enquêtrice a indiqué</w:t>
      </w:r>
    </w:p>
    <w:p>
      <w:r>
        <w:t>- 12 - que les reproches d’A.________ s’agissant du « vol d’identité » de sa fille et du « comportement sectaire » de M.________ étaient infondés et que si les allégations de favoritisme pouvaient être possibles, elles n’avaient toutefois eu aucune influence sur S.________, qui n’en avait pas souffert psychologiquement. Ainsi, compte tenu de ce rapport mis en lien avec les certificats médicaux, faisant état de lésions qui ne sont pas graves, mais simples au sens légal, il se justifie d’ouvrir formellement une enquête contre l’entraîneuse J.________ pour lésions corporelles simples qualifiées par négligence et violation du devoir d’assistance ou d’éducation, avec la précision que la plainte du mois d’août 2020 a été déposée en temps utile si l’on retient que l’information quant aux agissements reprochés à la prénommée à l’encontre de S.________ était connue du père seulement en juillet 2020. En revanche, rien ne permet de retenir quoi que ce soit contre les autres personnes citées dans la plainte.</w:t>
      </w:r>
    </w:p>
    <w:p>
      <w:r>
        <w:rPr>
          <w:b/>
        </w:rPr>
        <w:t>E. 3</w:t>
      </w:r>
    </w:p>
    <w:p>
      <w:r>
        <w:t>Au vu de ce qui précède, le recours doit être partiellement admis et l’ordonnance attaquée annulée en tant qu’elle vaut non-entrée en matière sur la plainte dirigée contre J.________ pour lésions corporelles simples qualifiées par négligence et violation du devoir d’assistance ou d’éducation. L’ordonnance doit être confirmée pour le surplus. Le dossier de la cause sera retourné au Ministère public pour qu’il procède dans le sens des considérants. Vu le sort du recours, les frais de la procédure, constitués de l’émolument d’arrêt, par 1'320 fr. (art. 20 al. 1 TFIP [tarif des frais de procédure et indemnités en matière pénale du 28 septembre 2010 ; BLV 312.03.1]), seront mis par moitié, soit par 660 fr., à la charge du recourant, le solde étant laissé à la charge de l’Etat (art. 428 al. 1 et 4 CPP). Le recourant, qui a procédé avec l’assistance d’un avocat de choix et qui a obtenu partiellement gain de cause, a droit à une indemnité</w:t>
      </w:r>
    </w:p>
    <w:p>
      <w:r>
        <w:t>- 13 - pour les dépenses occasionnées par la procédure de recours. Il requiert à ce titre le montant de 4'400 fr. sans toutefois produire de liste des opérations. Ce montant apparaît trop élevé s’agissant d’un dossier connu de l’avocat et au vu de l’ampleur de l’activité déployée. L'indemnité sera fixée à 1'200 fr., correspondant à 4h00 d’activité nécessaire d’avocat au tarif horaire de 300 fr. (art. 26a al. 3 TFIP). Toutefois, vu l'issue du recours, elle sera réduite de moitié, soit à 600 fr., montant auquel il faut ajouter 2 % pour les débours (art. 19 al. 2 TDC [tarif des dépens en matière civile du 23 novembre 2010 ; BLV 270.11.6] applicable par renvoi de l’art. 26a al. 6 TFIP), soit 12 fr., de sorte que l'indemnité totale s'élève à 660 fr. en chiffres arrondis, TVA par 7,7 % incluse. Elle sera laissée à la charge de l’Etat. En application de l'art. 442 al. 4 CPP, les frais d'arrêt mis à la charge du recourant à hauteur de 660 fr. seront compensés avec l’indemnité du même montant qui lui est allouée. Par ces motifs, la Chambre des recours pénale prononce : I. Le recours est partiellement admis. II. L’ordonnance du 22 avril 2021 est annulée en tant qu’elle vaut non-entrée en matière sur la plainte dirigée contre J.________ pour lésions corporelles simples qualifiées par négligence et violation du devoir d’assistance ou d’éducation. L’ordonnance est confirmée pour le surplus. III. Le dossier est renvoyé au Ministère public de l’arrondissement de La Côte pour qu’il procède dans le sens des considérants. IV. Les frais de la procédure de recours, par 1'320 fr. (mille trois cent vingt francs), sont mis par moitié à la charge d’A.________, par 660 fr. (six cent soixante francs), le solde étant laissé à la charge de l'Etat.</w:t>
      </w:r>
    </w:p>
    <w:p>
      <w:r>
        <w:t>- 14 - V. Une indemnité réduite de 660 fr. (six cent soixante francs) est allouée à A.________ pour les dépenses occasionnées par l’exercice raisonnable de ses droits dans la procédure de recours, à la charge de l'Etat. VI. Les frais d'arrêt mis à la charge d’A.________, par 660 fr. (six cent soixante francs), sont compensés avec l’indemnité allouée au chiffre V ci-dessus. VII. L’arrêt est exécutoire. Le président : Le greffier : Du Le présent arrêt, dont la rédaction a été approuvée à huis clos, est notifié, par l'envoi d'une copie complète, à : - Me Claude Laporte, avocat (pour A.________), - Ministère public central, et communiqué à : - Me Lise-Marie Gonzalez Pennec, avocate (pour U.________), - Me Stefan Disch, avocat (pour [...]), - Mme la Présidente du Tribunal civil de l’arrondissement de l’Est vaudois, - M. le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