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PE20.018136 vom 3. März 2021</w:t>
      </w:r>
    </w:p>
    <w:p>
      <w:r>
        <w:t>VD Tribunal cantonal, 2021-03-03, FR</w:t>
      </w:r>
    </w:p>
    <w:p>
      <w:r>
        <w:rPr>
          <w:b/>
        </w:rPr>
        <w:t xml:space="preserve">Quelle: </w:t>
      </w:r>
      <w:r>
        <w:t>https://mcp.opencaselaw.ch/entscheid/vd_gerichte_PE20.018136</w:t>
      </w:r>
    </w:p>
    <w:p>
      <w:r>
        <w:t>FR: VD_GERICHTE PE20.018136 du 3 mars 2021</w:t>
      </w:r>
    </w:p>
    <w:p>
      <w:r>
        <w:t>IT: VD_GERICHTE PE20.018136 del 3 marzo 2021</w:t>
      </w:r>
    </w:p>
    <w:p>
      <w:pPr>
        <w:pStyle w:val="Heading2"/>
      </w:pPr>
      <w:r>
        <w:t>Erwägungen</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X.________ est recevable.</w:t>
      </w:r>
    </w:p>
    <w:p>
      <w:r>
        <w:rPr>
          <w:b/>
        </w:rPr>
        <w:t>E. 1.2</w:t>
      </w:r>
    </w:p>
    <w:p>
      <w:r>
        <w:t>Aux termes de l’art. 398 CPP, la juridiction d’appel jouit d’un plein pouvoir d’examen sur tous les points attaqués du jugement (al. 2). L’appel peut être formé (a) pour violation du droit, y compris l’excès et</w:t>
      </w:r>
    </w:p>
    <w:p>
      <w:r>
        <w:t>- 12 - l’abus du pouvoir d’appréciation, le déni de justice et le retard injustifié, (b) pour constatation incomplète ou erronée des faits et (c) pour inopportunité (al. 3).</w:t>
      </w:r>
    </w:p>
    <w:p>
      <w:r>
        <w:rPr>
          <w:b/>
        </w:rPr>
        <w:t>E. 1.3</w:t>
      </w:r>
    </w:p>
    <w:p>
      <w:r>
        <w:t>Il ressort du rapport établi le 2 août 2021 par la direction de la Prison du Bois-Mermet notamment ce qui suit : « Depuis son entrée dans notre établissement le 23 octobre 2020, l'intéressé a occupé les cellules suivantes : - du 23.10.2020 au 01.11.2020, cellule 328 - 2 personnes ; - du 01.11.2020 au 12.02.2021, cellule 243 - 2 personnes; - du 12.02.2021 au 28.06.2021, cellule 227 - 2 personnes; - dès le 28.06.2021, cellule 225 - 2 personnes.</w:t>
      </w:r>
    </w:p>
    <w:p>
      <w:r>
        <w:t>- 11 - Une liste de ces cellules, sur laquelle figurent également les dates des changements, est jointe au présent courrier, de même que des croquis avec mesures de ces dernières [P. 96/2 à 5]. Du 23 octobre 2020 au 17 février 2021, le prénommé n'ayant pas d'occupation professionnelle, il bénéficiait d'une heure de promenade par jour et de quatre séances d'une heure de sport par semaine. Il avait la possibilité de participer aux activités socio-éducatives ou de se rendre à la bibliothèque. Les rencontres avec la Fondation Vaudoise de Probation, les visites ainsi que les téléphones peuvent également être comptabilisés comme temps passé hors de sa cellule. Le 18 février 2021, il a intégré l'atelier buanderie à 50 %, soit : 6 semaines 2 jours de travail puis 6 semaines 3 jours de travail. L'intéressé œuvre en alternance avec son codétenu de cellule. Horaires : 07:45 – 11:30 puis de 13:45 – 16:30. Les détenus travailleurs ont également droit chaque jour à une heure de promenade ainsi qu'à trois séries de sport par semaine d'une durée de 45 minutes. Les programmes occupationnels/activités socio-éducatives ont été restreints durant la première vague de la pandémie. Ils ont repris normalement le 8 juin 2020. Dès lors, cinq séries de sport hebdomadaires ont été octroyées aux personnes détenues depuis le mois de mars, jusqu'au 19 juin 2020, soit avant l'arrivée de M. X.________. » Selon le tableau annexé au rapport (P. 96/6), les surfaces nettes des cellules, sans déduction de la surface dédiée aux sanitaires, sont les suivantes : cellule 225 : 9.15 m2 ; cellule 227 : 9.21 m2 ; cellule 243 : 8.89 m2 et cellule 328 : 9.46 m2. En d roit :</w:t>
      </w:r>
    </w:p>
    <w:p>
      <w:r>
        <w:rPr>
          <w:b/>
        </w:rPr>
        <w:t>E. 2.1</w:t>
      </w:r>
    </w:p>
    <w:p>
      <w:r>
        <w:t>Seule doit être tranchée la question de la réduction de peine qu’il convient d’opérer à titre de réparation du tort moral subi en lien avec l’incarcération du prévenu dans des conditions illicites, soit un traitement prohibé par l'art. 3 CEDH (Convention de sauvegarde des droits de l’homme et des libertés fondamentales du 4 novembre 1950 ; RS 0.101).</w:t>
      </w:r>
    </w:p>
    <w:p>
      <w:r>
        <w:rPr>
          <w:b/>
        </w:rPr>
        <w:t>E. 2.2.1</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 TF 6B_456/2015 du 21 mars 2016 consid. 2.1). En principe, si la surface disponible dépasse 4 m2,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w:t>
      </w:r>
    </w:p>
    <w:p>
      <w:r>
        <w:t>- 13 -</w:t>
      </w:r>
    </w:p>
    <w:p>
      <w:r>
        <w:rPr>
          <w:b/>
        </w:rPr>
        <w:t>E. 2.2.2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w:t>
      </w:r>
    </w:p>
    <w:p>
      <w:r>
        <w:t>- 14 -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w:t>
      </w:r>
    </w:p>
    <w:p>
      <w:r>
        <w:t>- 15 - 3.3 ; CAPE 28 mars 2019/92 consid. 5.2 et les références citées, notamment CAPE 18 août 2016/357 consid. 4.2 ; CAPE 18 novembre 2013 consid. 4.2).</w:t>
      </w:r>
    </w:p>
    <w:p>
      <w:r>
        <w:rPr>
          <w:b/>
        </w:rPr>
        <w:t>E. 2.2.3</w:t>
      </w:r>
    </w:p>
    <w:p>
      <w:r>
        <w:t>Dans le cas présent, l’appelant a d’abord été détenu pendant 4 jours en zone carcérale, soit du 20 au 23 octobre 2020, ce qui justifie une réduction de 1 jour de détention, conformément au chiffre XIV du dispositif du jugement de première instance. Ensuite, il ressort du rapport du 2 août 2021 de la direction de la Prison du Bois-Mermet (P. 96) que le prévenu est détenu dans cet établissement depuis 23 octobre 2020 – ce qui représente une durée de 297 jours au 16 août 2021. L’intéressé a occupé la cellule n° 328 du 23 octobre au 1er novembre 2019, puis la cellule n° 245 jusqu’au 12 février 2021, puis la cellule n° 227 jusqu’au 28 juin 2021, puis dès cette date la cellule n° 225. Il s’agit de cellules doubles, que l’appelant a partagées avec un codétenu, dans lesquelles la surface individuelle nette à disposition se situe, après déduction de la surface dédiée aux sanitaires, qui peut être estimée à 1.5 m2, entre 3 et 4 m2 (de 3.70 à 3.86 m2). Ces cellules ne disposent pas de cloison solide pour séparer les sanitaires du reste. Avant qu'il ne débute une activité à l’atelier buanderie à 50% le 18 février 2021, soit 6 semaines à 2 jours de travail, puis 6 semaines à 3 jours de travail, l’appelant y était confiné toute la journée, à l’exception du temps dévolu à la promenade quotidienne, aux sports et loisirs, aux rencontres avec la Fondation vaudoise de probation et téléphones. Au vu des circonstances concrètes du cas d’espèce et compte tenu de la souffrance qui en découle, il se justifie d’opérer une réduction de peine d’un quart de la durée passée dans de telles conditions à la prison du Bois-Mermet, jusqu’au 17 février 2021, soit de 30 jours (118 : 4 = 29.5), puis de réduire la peine d’un sixième, compte tenu du temps partiellement passé à l’atelier buanderie, du 18 février 2021 au 16 août 2021, soit de 30 jours (179 : 6 = 29.8).</w:t>
      </w:r>
    </w:p>
    <w:p>
      <w:r>
        <w:t>- 16 - Lors des débats d’appel, la Cour de céans a proposé aux parties d’opérer la réduction susmentionnée. Tant l’appelant que le Ministère public ont adhéré à ce calcul, qui revient à déduire 60 jours de la peine privative de liberté de 14 mois prononcée par le Tribunal correctionnel à titre de réparation morale, en sus de la journée d’ores et déjà déduite à ce titre par les premiers juges pour la période passée par le prévenu en zone carcérale. L’appel doit donc être admis sur ce point dans cette mesure.</w:t>
      </w:r>
    </w:p>
    <w:p>
      <w:r>
        <w:rPr>
          <w:b/>
        </w:rPr>
        <w:t>E. 3</w:t>
      </w:r>
    </w:p>
    <w:p>
      <w:r>
        <w:t>Conformément à l’art. 51 CP, la détention subie par l’appelant depuis le jugement de première instance doit être déduite de la peine infligée.</w:t>
      </w:r>
    </w:p>
    <w:p>
      <w:r>
        <w:rPr>
          <w:b/>
        </w:rPr>
        <w:t>E. 4</w:t>
      </w:r>
    </w:p>
    <w:p>
      <w:r>
        <w:t>Le maintien en détention pour des motifs de sûreté de l’appelant sera ordonné pour garantir l'exécution de la peine, vu les risques de fuite et de récidive qu’il présente (art. 221 al. 1 let. a et c CPP).</w:t>
      </w:r>
    </w:p>
    <w:p>
      <w:r>
        <w:rPr>
          <w:b/>
        </w:rPr>
        <w:t>E. 5</w:t>
      </w:r>
    </w:p>
    <w:p>
      <w:r>
        <w:t>En définitive, l’appel interjeté par X.________ doit être admis et le jugement entrepris réformé dans le sens des considérants qui précèdent. Vu l’issue de la cause, les frais de la procédure d’appel, constitués en l’espèce de l’émolument du présent jugement, par 1’500 fr. (art. 21 al. 1 TFIP [Tarif des frais de procédure et indemnités en matière pénale du 28 septembre 2010 ; BLV 312.03.1]) et des frais imputables à la défense d’office (art. 422 al. 1 et 2 let. a CPP), correspondant à des honoraires à hauteur de 2’601 fr. (14.27 x 180 fr.), auxquels il convient d’ajouter des débours forfaitaires à concurrence de 2 % (art. 3bis RAJ [Règlement sur l’assistance judiciaire en matière civile du 7 décembre 2010 ; BLV 211.02.3], par renvoi de l’art. 26b TFIP), par 52 fr., quatre vacations à 120 fr., plus la TVA par 241 fr. 25, soit à 3'374.30 au total, seront, en équité, laissés à la charge de l’Etat.</w:t>
      </w:r>
    </w:p>
    <w:p>
      <w:r>
        <w:t>- 17 - Le chiffre V du dispositif notifié aux parties le 16 août 2021 contient une erreur de plume qu'il convient de rectifier d'office (art. 83 al. 1 CPP), en ce sens qu’une indemnité de défenseur d'office pour la procédure d'appel d'un montant de 3'374 fr. 30, non de 2'986 fr. 50, TVA et débours inclus, est allouée à Me Catherine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