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PE20.017734 vom 9. Februar 2021</w:t>
      </w:r>
    </w:p>
    <w:p>
      <w:r>
        <w:t>VD Tribunal cantonal, 2021-02-09, FR</w:t>
      </w:r>
    </w:p>
    <w:p>
      <w:r>
        <w:rPr>
          <w:b/>
        </w:rPr>
        <w:t xml:space="preserve">Quelle: </w:t>
      </w:r>
      <w:r>
        <w:t>https://mcp.opencaselaw.ch/entscheid/vd_gerichte_PE20.017734</w:t>
      </w:r>
    </w:p>
    <w:p>
      <w:r>
        <w:t>FR: VD_GERICHTE PE20.017734 du 9 février 2021</w:t>
      </w:r>
    </w:p>
    <w:p>
      <w:r>
        <w:t>IT: VD_GERICHTE PE20.017734 del 9 febbraio 2021</w:t>
      </w:r>
    </w:p>
    <w:p>
      <w:pPr>
        <w:pStyle w:val="Heading2"/>
      </w:pPr>
      <w:r>
        <w:t>Erwägungen</w:t>
      </w:r>
    </w:p>
    <w:p>
      <w:r>
        <w:rPr>
          <w:b/>
        </w:rPr>
        <w:t>E. 1</w:t>
      </w:r>
    </w:p>
    <w:p>
      <w:r>
        <w:t>Entre juillet 2020 et le 16 septembre 2020, il aurait envoyé de très nombreux messages à son ex-compagne et lui aurait dit qu’il allait lui montrer ce qu’un « fils de pute » pouvait lui faire.</w:t>
      </w:r>
    </w:p>
    <w:p>
      <w:r>
        <w:rPr>
          <w:b/>
        </w:rPr>
        <w:t>E. 2</w:t>
      </w:r>
    </w:p>
    <w:p>
      <w:r>
        <w:t>Le 16 septembre 2020 à Lausanne, le prévenu aurait traité son ex-compagne notamment de « pute » et de « salope », lui aurait fait le signe de l’égorgement avec la main tout en lui disant qu’il allait l’égorger et qu’elle méritait de mourir égorgée; il aurait levé la main droite pour la frapper mais se serait ravisé en voyant des passants; il lui aurait également dit que c’était la dernière fois qu’elle voyait sa fille et qu’elle ne verrait plus ses enfants.</w:t>
      </w:r>
    </w:p>
    <w:p>
      <w:r>
        <w:rPr>
          <w:b/>
        </w:rPr>
        <w:t>E. 2.1</w:t>
      </w:r>
    </w:p>
    <w:p>
      <w:r>
        <w:t>En vertu de l'art. 29 al. 3 Cst.,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w:t>
      </w:r>
    </w:p>
    <w:p>
      <w:r>
        <w:t>- 5 -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TF 1B_374/2018 du 4 septembre 2018 consid. 2.1). Les critères énoncés par l'art. 132 al. 1, let. b, 2 et 3 CPP reprennent largement la jurisprudence du Tribunal fédéral en matière d'assistance judiciaire, rendue sur la base des art. 29 al. 3 Cst. et 6 ch. 3 let. c CEDH (ATF 143 I 164 consid. 3.5; TF 1B_477/2011 du 4 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TF 6B_243/2017 du 21 septembre 2017 consid. 2.2; TF 1B_167/2016 du 1er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références citées).</w:t>
      </w:r>
    </w:p>
    <w:p>
      <w:r>
        <w:t>- 6 -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1B_494/2019 du 20 décembre 2019 consid. 3.1 et les arrêts cités; TF 1B_93/2018 du 29 mai 2018 consid. 3.1; TF 1B_257/2013 du 28 octobre 2013 consid. 2.1 in SJ 2014 I p. 273). S'agissant de la difficulté objective de la cause, à l'instar de ce qu'elle a développé en rapport avec les chances de succès d'un recours (cf. ATF 139 III 396 consid. 1.2 p. 397; 129 I 129 consid. 2.3.1 p. 135), la jurisprudence impose de se demander si une personne raisonnable et de bonne foi, qui présenterait les mêmes caractéristiques que le requérant mais disposerait de ressources suffisantes, ferait ou non appel à un avocat (ATF 140 V 521 consid. 9.1 p. 537; TF 1B_257/2013 du 28 octobre 2013 consid. 2.1 in SJ 2014 I p. 273). La difficulté objective d'une cause est admise sur le plan juridique lorsque la subsomption des faits donne lieu à des doutes, que ce soit de manière générale ou dans le cas particulier (TF 1B_538/2019 du 10 décembre 2019 consid. 3.1 et l'arrêt cité).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(TF 1B_257/2013 du 28 octobre 2013 consid. 2.1, in SJ 2014 I p. 273), ainsi que des mesures qui paraissent nécessaires, dans le cas particulier, pour assurer sa défense, notamment en ce qui concerne les preuves qu'il devra offrir (TF 1B_538/2019 du 10 décembre 2019 consid. 3.1 et les arrêts cités; TF 1B_9/2020 du 6 mai 2020; TF 1B_210/2019 du 29 juillet 2019).</w:t>
      </w:r>
    </w:p>
    <w:p>
      <w:r>
        <w:t>- 7 -</w:t>
      </w:r>
    </w:p>
    <w:p>
      <w:r>
        <w:rPr>
          <w:b/>
        </w:rPr>
        <w:t>E. 2.2</w:t>
      </w:r>
    </w:p>
    <w:p>
      <w:r>
        <w:t>En l’espèce, il n’est pas contesté que le prévenu ne dispose pas des moyens nécessaires pour assurer sa défense au sens de l’art. 132 al. 1 let. b CPP. La cause est relativement simple s’agissant des faits, dès lors que l’établissement de ceux-ci ne présente aucune difficulté particulière et qu’en outre le prévenu a une connaissance, au vu de ses précédentes condamnations, du déroulement d’une procédure pénale. En revanche, on ne saurait considérer que la cause est de peu de gravité en droit. Le prévenu s’expose en effet, si les faits incriminés devaient être tenus pour avérés, à une peine privative de liberté. Il a été en effet condamné à plusieurs reprises à des peines privatives de liberté, la dernière fois en 2019 notamment pour la même infraction. En outre, on voit mal qu’un autre genre de peine puisse entrer en considération, d’autant qu’il s’agirait de menaces de mort. Certes, même si deux épisodes de menaces seraient concernés, la peine privative de liberté pourrait être inférieure à 120 jours s’agissant de cette infraction. Toutefois, elle pourrait être ferme au vu des antécédents. La diffamation et l’injure sont quant à elles passibles d’une peine pécuniaire et l’utilisation abusive d’une installation de télécommunications d’une amende. Ainsi, la peine privative de liberté et la peine pécuniaire à prononcer pourraient être supérieures à 120 jours. A cela s’ajoute que le sursis assortissant la peine privative de liberté de 40 jours prononcée le 18 juin 2019 pourrait être révoqué. Enfin, un important conflit oppose les parties au sujet de la garde de leurs enfants, ceux-ci ayant été provisoirement confiés à leur père et une enquête portant sur la limitation de l’autorité parentale, sur l’attribution de la garde de fait et sur le droit de déterminer leur lieu de résidence ayant été ordonnée par la Justice de paix (cf. P. 15/2/2). L’issue de la procédure pénale peut avoir une influence sur l’attribution du droit de garde au père, les enfants étant susceptibles d’être placés en foyer ou chez leur mère. 3. En définitive, le recours doit être admis et l'ordonnance attaquée réformée en ce sens que l'avocat Raphaël Tatti est désigné en</w:t>
      </w:r>
    </w:p>
    <w:p>
      <w:r>
        <w:t>- 8 - qualité de défenseur d'office du recourant. La désignation prendra effet au jour du dépôt de la demande, soit le 23 décembre 2020 (cf. CREP 3 décembre 2020/972; CREP 15 avril 2016/251). Le recourant ayant obtenu gain de cause, les frais de la procédure de recours, constitués en l’espèce de l’émolument d’arrêt, par 880 fr. (art. 20 al. 1 TFIP [Tarif des frais de procédure et indemnités en matière pénale du 28 septembre 2010; BLV 312.03.1]), ainsi que de l’indemnité allouée à son défenseur d’office, fixée à 395 fr. 45, montant arrondi à 396 fr., comprenant des honoraires, par 360 fr. (correspondant à deux heures d'activité au tarif horaire de 180 fr.), plus des débours forfaitaires à concurrence de 2%, par 7 fr. 20 (art. 26b TFIP, renvoyant à l’art. 3bis al. 1 RAJ [Règlement sur l’assistance judiciaire en matière civile du 7 décembre 2010; BLV 211.02.3]), et la TVA au taux de 7,7%, par 28 fr. 25, seront laissés à la charge de l’Etat (art. 423 al. 1 CPP). Par ces motifs, la Chambre des recours pénale prononce : I. Le recours est admis. II. L'ordonnance du 7 janvier 2021 est réformée en ce sens que Me Raphaël Tatti est désigné en qualité de défenseur d'office de Q.________. III. L'indemnité due à Me Raphaël Tatti pour la procédure de recours est fixée à 396 fr. (trois cent nonante-six francs). IV. Les frais d'arrêt, par 880 fr. (huit cent huitante francs), ainsi que l'indemnité fixée au chiffre III ci-dessus, par 396 fr. (trois cent nonante-six francs), sont laissés à la charge de l'Etat. V. L’arrêt est exécutoire. Le président : Le greffier :</w:t>
      </w:r>
    </w:p>
    <w:p>
      <w:r>
        <w:t>- 9 - Du Le présent arrêt, dont la rédaction a été approuvée à huis clos, est notifié, par l'envoi d'une copie complète, à : - Me Raphaël Tatti, avocat (pour Q.________), - Ministère public central, et communiqué à : - Mme la Procureure de l'arrondissement de Lausanne, - Me Marc-Aurèle Vollenweider, avocat (pour [...]), par l’envoi de photocopies.</w:t>
      </w:r>
    </w:p>
    <w:p>
      <w:r>
        <w:t>- 10 -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r>
        <w:rPr>
          <w:b/>
        </w:rPr>
        <w:t>E. 3</w:t>
      </w:r>
    </w:p>
    <w:p>
      <w:r>
        <w:t>Entre le 17 septembre 2020 et le 20 octobre 2020, le prévenu aurait publié sur les réseaux sociaux que son ex-compagne l’avait trompée et que c’était pour cette raison qu’elle avait perdu la garde de ses enfants; il l’aurait notamment traitée de « pute » et de « mongole » auprès de tiers; il l’aurait également menacée de lui trancher la gorge.</w:t>
      </w:r>
    </w:p>
    <w:p>
      <w:r>
        <w:rPr>
          <w:b/>
        </w:rPr>
        <w:t>E. 4</w:t>
      </w:r>
    </w:p>
    <w:p>
      <w:r>
        <w:t>Le 20 octobre 2020 à Lausanne, le prévenu aurait insulté son ex-compagne, la traitant notamment de « pute », et l’aurait menacée de lui « niquer sa race ». b) L’extrait du casier judiciaire du prévenu mentionne onze condamnations, prononcées du 29 septembre 2011 au 18 juin 2019, pour certaines dans le même domaine d’infractions que celui de la présente procédure pénale. En particulier, la dernière condamnation, à une peine privative de liberté de 40 jours, avec sursis pendant cinq ans, et à une amende de 800 fr., a été prononcée pour voies de fait, voies de fait qualifiées (partenaire hétérosexuel ou homosexuel) et menaces qualifiées (partenaire hétérosexuel ou homosexuel).</w:t>
      </w:r>
    </w:p>
    <w:p>
      <w:r>
        <w:t>- 3 - c) Un conflit oppose le prévenu et son ex-compagne au sujet de la garde de leurs enfants communs. Ceux-ci ont été placés en foyer, puis sont retournés chez leur mère. Par ordonnance de mesures superprovisionnelles du 4 septembre 2020, la Justice de paix du district de l’Ouest lausannois a, notamment (ch. I du dispositif), transféré provisoirement à leur père la garde de fait sur les enfants (P. 15//1). Le prévenu a lui-même déposé plainte pénale contre [...] le 27 novembre 2020 (P. 13). d) Le 23 décembre 2020, le prévenu a requis la désignation de son défenseur de choix, l'avocat Raphaël Tatti, en qualité de défenseur d’office (P. 15/0). Pour sa part, [...] a, le 13 janvier 2021, requis la désignation de son conseil de choix, l’avocat Marc-Aurèle Vollenweider, comme conseil d’office afin de prendre des conclusions civiles contre le prévenu (P. 16/1). B. a) Par ordonnance du 7 janvier 2021, le Ministère public a rejeté la requête de désignation d’un défenseur d’office à Q.________ (I) et a dit que les frais suivaient le sort de la cause (II). La Procureure a d’abord considéré que le prévenu ne se trouvait pas dans un cas de défense obligatoire. Elle a ensuite estimé que la cause n’était compliquée ni en fait, ni en droit, de sorte qu’elle ne présentait pas de difficulté que le prévenu ne pourrait pas surmonter seul. Elle a ajouté qu’au vu de la peine susceptible d’être prononcée, l’assistance d’un défenseur n’apparaissait pas justifiée pour sauvegarder les intérêts du prévenu. b) Par ordonnance du 19 janvier 2021, le Ministère public a rejeté la requête de désignation d’un défenseur d’office à [...] (I) et a dit que les frais suivaient le sort de la cause (II).</w:t>
      </w:r>
    </w:p>
    <w:p>
      <w:r>
        <w:t>- 4 - C. Par acte du 18 janvier 2021, Q.________ a recouru contre l’ordonnance rendue à son égard le 7 janvier 2021, en concluant, avec suite de frais et dépens, à sa réforme, en ce sens qu’un défenseur d’office lui soit désigné en la personne de l’avocat Raphaël Tatti. Dans ses déterminations du 4 février 2021, le Ministère public a conclu au rejet du recours, aux frais de son auteur, en se référant entièrement aux considérants de l’ordonnance attaquée. En d roit : 1. Le refus de désigner un défenseur d’office est susceptible de recours (CREP 3 décembre 2020/972; CREP 3 avril 2020/251; CREP 17 août 2017/542). Interjeté dans le délai légal (art. 396 al. 1 CPP [Code de procédure pénale suisse du 5 octobre 2007; RS 312.0]), par un prévenu qui a qualité pour recourir (art. 382 al. 1 CPP) et dans les formes prescrites (art. 385 al. 1 CPP),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