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PE20.017698 vom 18. Oktober 2022</w:t>
      </w:r>
    </w:p>
    <w:p>
      <w:r>
        <w:t>VD Tribunal cantonal, 2022-10-18, FR</w:t>
      </w:r>
    </w:p>
    <w:p>
      <w:r>
        <w:rPr>
          <w:b/>
        </w:rPr>
        <w:t xml:space="preserve">Quelle: </w:t>
      </w:r>
      <w:r>
        <w:t>https://mcp.opencaselaw.ch/entscheid/vd_gerichte_PE20.017698</w:t>
      </w:r>
    </w:p>
    <w:p>
      <w:r>
        <w:t>FR: VD_GERICHTE PE20.017698 du 18 octobre 2022</w:t>
      </w:r>
    </w:p>
    <w:p>
      <w:r>
        <w:t>IT: VD_GERICHTE PE20.017698 del 18 ottobre 2022</w:t>
      </w:r>
    </w:p>
    <w:p>
      <w:pPr>
        <w:pStyle w:val="Heading2"/>
      </w:pPr>
      <w:r>
        <w:t>Erwägungen</w:t>
      </w:r>
    </w:p>
    <w:p>
      <w:r>
        <w:rPr>
          <w:b/>
        </w:rPr>
        <w:t>E. 11</w:t>
      </w:r>
    </w:p>
    <w:p>
      <w:r>
        <w:t>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 Borsodi, in : Macaluso/Moreillon/Queloz [éd.], CR-CP II, n. 20 art. 146 CP ; Stratenwerth/ Jenny/Bommer, Schweizerisches Strafrecht, Besonderer Teil I, Straftaten gegen Individualinteressen, 7e éd., Berne 2010,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11e éd., Zurich 2018, pp. 237-238 ; Stratenwerth et al., op. et loc. cit.). Il faut au contraire que l'auteur se soit trouvé dans une situation qui l'obligeait à ce point à protéger les intérêts du lésé que son</w:t>
      </w:r>
    </w:p>
    <w:p>
      <w:r>
        <w:t>- 16 - omission puisse être assimilée à une tromperie résultant d'un comportement actif (cf. art. 11 al. 3 CP ; ATF 140 IV 11 consid. 2.4.2 ; TF 6B_1050/2019 du 20 novembre 2019 consid. 4.1).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 TF 6B_653/2021 précité consid. 1.3.1 et les réf. cit.).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retenir que la dupe a manqué de vigilance à un point tel qu’elle ne mérite pas de protection pénale. Sur cette question, la jurisprudence est nuancée, le principe de coresponsabilité de la victime ne saurait être utilisé pour nier trop aisément le caractère astucieux de la</w:t>
      </w:r>
    </w:p>
    <w:p>
      <w:r>
        <w:t>- 17 - tromperie (Dupuis et al., Petit commentaire, Code pénal, 2e éd., Bâle 2017, n. 17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6B_645/2021 et 6B_646/2021 du 28 mars 2022 consid. 3.1). 3.3 3.3.1 En l’espèce, il résulte de l’examen du dossier que S.________ a encouragé le recourant, ainsi que quatre de ses collègues, à investir des sommes importantes sur la plateforme de cryptomonnaies K.________ et qu’il leur a parlé des profits qu’il avait lui-même réalisés. Le recourant, huissier au [...], a rencontré le prévenu sur son lieu de travail, alors que celui-ci travaillait comme agent de sécurité pour la société [...]. S.________ n’avait ainsi aucune compétence professionnelle en matière de placement financier ou de cryptomonnaie, ce que le recourant ne pouvait que savoir. Même à admettre que l’activité de la plateforme K.________ serait proche de celle du « jeu de l’avion », il faudrait encore, pour que l’infraction d’escroquerie soit réalisée, que S.________ l’ait su ou qu’il en ait eu conscience et qu’il ait, par un édifice de mensonges notamment, persuadé le recourant d’investir alors qu’il ne pouvait que savoir que celui- ci perdrait son investissement, ce qui n’est clairement pas le cas. Tout d’abord, il ressort du dossier de la cause que le site de K.________ inspirait confiance et que la FINMA n’est intervenue pour contenir l’activité de l’association [...] que des mois après qu’elle a commencé à émettre de la cryptomonnaie (P. 16/1 à 16/6). Ensuite, il est établi que S.________ a emprunté 45'000 fr. en novembre 2016 (P. 19/2) pour les investir sur la plateforme K.________ et qu’il a pu par la suite retirer de l’argent de ses investissements. Le 8 novembre 2017, le prévenu a en effet pu reprendre des V-Coins correspondant à 598 euros sur la plateforme K.________ (P. 25/2). En revanche, il convient d’admettre, avec le recourant, qu’aucune</w:t>
      </w:r>
    </w:p>
    <w:p>
      <w:r>
        <w:t>- 18 - pièce du dossier ne permet de vérifier l’affirmation du prévenu selon laquelle il aurait pu retirer 15'000 euros auprès d’une banque au Portugal en juin 2017. Une opération portant sur 11'428 V-Coins a certes été exécutée au Portugal, mais la pièce au dossier ne permet pas de certifier que la contrepartie de ces V-Coins correspond bien à 15'000 euros et que S.________ a perçu cette somme. Cependant, au vu du retrait que le prévenu a pu effectuer le 8 novembre 2017, on ne peut pas soutenir que celui-ci savait, lorsque le recourant lui a versé la somme de 10'000 fr. le</w:t>
      </w:r>
    </w:p>
    <w:p>
      <w:r>
        <w:rPr>
          <w:b/>
        </w:rPr>
        <w:t>E. 12</w:t>
      </w:r>
    </w:p>
    <w:p>
      <w:r>
        <w:t>octobre 2017, que le plaignant allait perdre sa mise. A cela s’ajoute que S.________ a déclaré avoir lui-même perdu 20'000 fr. sur les 56'000 fr. qu’il avait investis (PV aud. 2 ll. 84-85). Aucun lien particulier ou privilégié entre la plateforme K.________ et S.________ n’a été établi. Les échanges de courriels avec le support de la plateforme K.________ au dossier (cf. P. 20/2, mail du 6 mars 2018 notamment ; P. 25/4 et P. 25/5) tendent au contraire à démontrer que le prévenu était un simple client de la plateforme et qu’il n’avait aucune relation privilégiée avec celle-ci. Le fait que S.________ aurait contourné des règles internes de cette plateforme pour pouvoir éventuellement vendre des V-Coins, comme le soutient le recourant, ne suffit pas à retenir qu’il aurait agi de connivence avec K.________ et qu’il savait que le plaignant allait perdre son argent. De plus, S.________ affirme s’être rendu dans les bureaux de l’entreprise K.________ à Zurich lorsqu’il a investi 45'000 fr. et avoir alors été rassuré. Lors de son audition par la procureure, il lui a d’ailleurs montré le lingot d’argent qui lui avait été remis lors de sa visite à Zurich. Au reste, le prévenu a encore 44'068 V-Coins qui sont bloqués sur son compte K.________ qu’il n’arrive pas à mettre en vente, et il a, tout comme le plaignant, tenté d’obtenir le remboursement de son investissement depuis le printemps 2018, mais en vain (P. 25/4 et P. 25/5). Dans ces circonstances, il n’est pas établi que S.________ savait ou pouvait savoir, en automne 2017, soit au moment où il a convaincu le recourant d’investir 10'000 fr. sur la plateforme K.________, que celui-ci perdrait l’intégralité de la somme investie en 2018 ou plus tard. Aucune</w:t>
      </w:r>
    </w:p>
    <w:p>
      <w:r>
        <w:t>- 19 - mesure d’instruction n’est susceptible d’établir que le prévenu participait en toute connaissance de cause à une escroquerie du type « jeu de l’avion » et de remettre en cause le classement pour escroquerie. Et même si les collègues de travail de Q.________ venaient à confirmer que le prévenu leur avait fait miroiter des rendements très élevés, il ne serait quoi qu’il en soit pas possible de retenir, compte tenu des éléments développés ci-avant, que le prévenu savait qu’il s’agissait d’une escroquerie et qu’ils allaient tous perdre les fonds investis. Point n’est donc nécessaire d’entendre les quatre collègues du recourant sur ce point, de sorte que la question de savoir si la procureure pouvait interpeller N.________, P.________, J.________ et T.________ en application de l’art. 145 CPP et remplacer leur audition par un questionnaire écrit peut demeurer ouverte. L’infraction d’escroquerie n’est dès lors pas réalisée. 3.2.2 Les faits dénoncés ne sont pas non plus constitutifs d’un abus de confiance au sens de l’art. 138 CP. Le recourant affirme que S.________ n’a pas reversé les 10'000 fr. confiés sur son compte de la plateforme K.________ et que rien n’indique que les 6'355 V-Coins placés sur son compte par le prévenu correspondent à cette somme. Or, le recourant a confié la somme de 10'000 fr. au prévenu afin que celui-ci lui achète des V-Coins. Il est vrai que le recourant a versé la somme de 10'000 fr. sur un compte bancaire de S.________, lequel ne l’a pas virée sur le compte V-Coins du recourant, mais utilisée à des fins personnelles, et que S.________ a versé, en contrepartie, des V- Coins sur le compte du recourant avant même d’avoir reçu la somme de 10'000 francs. Le montant de 10'000 fr. n’a certes pas été versé sur le compte K.________ du recourant, mais celui-ci perd de vue qu’il pouvait consulter son compte en V-Coins à tout moment, que le prévenu a versé la contrevaleur des 10'000 fr. confiés en V-Coins sur son compte K.________, qu’il connaissait leur valeur et qu’il était le seul à avoir accès à son compte. Le recourant a d’ailleurs déclaré qu’il avait consulté son compte K.________ de temps en temps et qu’au jour de son audition le 25 février 2021, le solde de celui-ci s’élevait à 19'337.37 euros (PV aud. 1 ll. 62-65 et ll. 105-106). Aussi, on peut s’étonner que le recourant affirme dans le</w:t>
      </w:r>
    </w:p>
    <w:p>
      <w:r>
        <w:t>- 20 - cadre de son recours que les 6'355 V-Coins ne correspondaient pas aux 10'000 fr. investis, alors qu’il ne pouvait que savoir, au jour de l’ouverture de son compte sur K.________ et du versement par le prévenu de V-Coins sur celui-ci, à combien de francs suisses ou d’euros ceux-ci correspondaient. Il a en effet affirmé qu’il voyait sur son compte le montant correspondant à son investissement en euros (PV aud 1 l. 63). Il a au demeurant participé à l’ouverture de son compte sur la plateforme en fournissant au prévenu une photocopie de sa carte d’identité dans ce but. Le dessein d’enrichissement illégitime du prévenu fait donc défaut. De plus, le recourant a lui-même indiqué que le prévenu s’était lui-même inquiété du fait qu’il lui vire l’argent sur son compte bancaire après avoir fait le transfert de V-Coins de son compte à celui de Q.________ sur la plateforme K.________ (PV aud 1 ll. 67-69). Le recourant ne peut ainsi affirmer qu’il n’a pas donné son accord à cette façon de procéder. A cela s’ajoute encore que les explications de S.________ à propos des frais que le recourant pouvait économiser si le prévenu procédait lui-même à la conversion des francs en V-Coins apparaissent vraisemblables. Ici encore on ne voit pas en quoi les auditions requises et la mesure d’instruction consistant à estimer la valeur, en francs suisses, des V-Coins virés par le prévenu sur compte K.________ du recourant seraient pertinentes. Enfin, on ne saurait retenir que le prévenu a fait un usage contraire aux instructions reçues de la somme confiée, dès lors que celui-ci n’a pas caché au recourant comment il procédait et qu’il ne pouvait pas savoir que Q.________ était opposé à cette manière de faire. En définitive, le recourant ne rend pas vraisemblable la commission d’une quelconque infraction pénale en lien avec les faits dénoncés et ne fait valoir aucun moyen qui justifierait l’annulation de l’ordonnance de classement, qui ne prête donc pas le flanc à la critique et doit être confirmée.</w:t>
      </w:r>
    </w:p>
    <w:p>
      <w:r>
        <w:t>- 21 - 4. En définitive, le recours interjeté par Q.________, manifestement mal fondé, doit être rejeté sans échange d’écritures (art. 390 al. 2 CPP) et l’ordonnance entreprise confirmée. Les frais de la procédure de recours, constitués en l’espèce du seul émolument d’arrêt (art. 422 al. 1 CPP), par 2'090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1er avril 2022 est confirmée. III. Les frais d’arrêt, par 2'090 fr. (deux mille nonante francs), sont mis à la charge de Q.________. IV. L’arrêt est exécutoire. La présidente : La greffière : Du Le présent arrêt, dont la rédaction a été approuvée à huis clos, est notifié, par l'envoi d'une copie complète, à : - Me Julien Gafner, avocat (pour Q.________), - Me Tatiana Bouras, avocate (pour S.________), - Ministère public central,</w:t>
      </w:r>
    </w:p>
    <w:p>
      <w:r>
        <w:t>- 22 - et communiqué à : - Mme la Procureure de l’arrondissement de Lausanne, - Service de la population, division étrangers (S.________, né le 19.07.1984),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