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PE20.017680 vom 17. März 2023</w:t>
      </w:r>
    </w:p>
    <w:p>
      <w:r>
        <w:t>VD Tribunal cantonal, 2023-03-17, FR</w:t>
      </w:r>
    </w:p>
    <w:p>
      <w:r>
        <w:rPr>
          <w:b/>
        </w:rPr>
        <w:t xml:space="preserve">Quelle: </w:t>
      </w:r>
      <w:r>
        <w:t>https://mcp.opencaselaw.ch/entscheid/vd_gerichte_PE20.017680</w:t>
      </w:r>
    </w:p>
    <w:p>
      <w:r>
        <w:t>FR: VD_GERICHTE PE20.017680 du 17 mars 2023</w:t>
      </w:r>
    </w:p>
    <w:p>
      <w:r>
        <w:t>IT: VD_GERICHTE PE20.017680 del 17 marzo 2023</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p. 131 ; ATF 143 IV 214 consid. 5.2.1 p. 220 ; ATF 131 III 91 consid. 5.2 ; TF 7B_444/2023 du 16 juillet 2024 consid. 2.1 ; TF 6B_282/2022 du 13 janvier 2023 consid. 1.1 ; TF 6B_29/2021 du 30 septembre 2021 consid. 1.3.1 ; TF 6B_1233/2016 du 29 août 2017 consid. 1). La motivation de l'arrêt de renvoi fixe ainsi tant le</w:t>
      </w:r>
    </w:p>
    <w:p>
      <w:r>
        <w:t>- 15 -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2.1</w:t>
      </w:r>
    </w:p>
    <w:p>
      <w:r>
        <w:t>Dans son arrêt de renvoi, le Tribunal fédéral a en particulier relevé ce qui suit : « 3.1. 3.1.1. Conformément à l'art. 193 al. 1 CP (dans sa teneur avant le 30 juin 2024)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l'art. 193 CP et si la capacité de la victime de se déterminer était gravement limitée doit être examinée à la lumière des circonstances du cas d'espèce (ATF 131 IV 114 consid. 1; arrêt 6B_1307/2020 du 19 juillet 2021 consid. 1.2). La situation de détresse ou de dépendance doit être appréciée selon la représentation que s'en font les intéressés (cf. ATF 99 IV 161 consid. 1; arrêts 6B_1307/2020 précité consid. 1.2; 6B_895/2020 du 4 février 2021 consid. 2.4.1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w:t>
      </w:r>
    </w:p>
    <w:p>
      <w:r>
        <w:t>- 16 - L'infraction doit permettre de réprimer celui qui profite de façon éhontée d'une situation de détresse ou de dépendance, dans un cas où la victime n'aurait manifestement pas consenti sans cette situation particulière (arrêts 6B_1307/2020 précité consid. 1.2; 6B_895/2020 précité consid. 2.4.1 et les arrêts cités). Dans une relation entre un psychothérapeute et son patient, il peut exister un "lien de dépendance de toute autre nature" au sens de l'art. 193 CP (ATF 128 IV 106 consid. 3b p. 112 s.; 124 IV 13 consid. 2c p. 16 ss; arrêt 6B_1307/2020 précité consid. 1.2). Il faut examiner dans chaque cas si ce lien existe et est prouvé. Dans ce contexte, peuvent jouer un rôle, la durée de la thérapie, l'état physique et psychique du patient, l'objet et la nature du traitement, les formes de traitement, le respect (ou son absence) d'une certaine distance par le thérapeute lors des entretiens avec le patient et d'autres circonstances encore. Un rapport de confiance particulier et un lien de dépendance prononcé peuvent faire défaut en raison notamment de la brièveté de la thérapie, de l'absence d'implication personnelle du patient dans le traitement ou dans les entretiens (par exemple, lors d'exercices de comportement psychologiques) ou encore en raison de l'attitude distante, critique, même négative du patient vis-à-vis du thérapeute; ce lien peut toutefois, selon les circonstances, exister après très peu de temps (ATF 131 IV 114 consid. 1; arrêt 6B_1307/2020 précité consid. 1.2; voir aussi, pour une présentation de la casuistique dans la relation thérapeute/patient: PHILIPP MAIER, in Basler Kommentar, Strafrecht II, 4e éd. 2019, no 9 et 10 ad art. 193 CP). Du point de vue subjectif, il faut que l'acte soit intentionnel. L'auteur doit savoir ou tout au moins supposer que la personne concernée n'accepte les actes d'ordre sexuel en question qu'en raison du lien de dépendance existant (ATF 131 IV 114 consid. 1 p. 119 et la jurisprudence citée; arrêt 6B_1307/2020 précité consid. 1.2). 3.1.2. Conformément à l'art. 189 al. 1 CP (dans sa teneur jusqu'au 30 juin 2024), se rend coupable de contrainte sexuelle celui qui, notamment en usant de menace ou de violence envers une personne, en</w:t>
      </w:r>
    </w:p>
    <w:p>
      <w:r>
        <w:t>- 17 -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(dans sa teneur jusqu'au 30 juin 2024). Le viol et la contrainte sexuelle supposent l'emploi d'un moyen de contrainte. S'agissant des moyens employés pour contraindre la victime, les dispositions précitées mentionnent notamment la menace et les pressions d'ordre psychique. Selon la jurisprudence, l'auteur profère des menaces lorsque, par ses paroles ou son comportement, il fait volontairement redouter à la victime la survenance d'un préjudice, à l'effet de l'amener à céder. La menace doit faire craindre un préjudice sérieux (ATF 122 IV 97 consid. 2b; arrêt 6B_981/2019 du 12 novembre 2020 consid. 2.2). L'existence d'une menace dans un cas concret doit toujours être évaluée en fonction de l'ensemble des circonstances. Il ne faut pas se fonder uniquement sur des critères objectifs, mais prendre également en compte les points de vue de la victime dans le cadre de l'évaluation du moyen de contrainte ([relativer Massstab]; arrêt 6B_587/2017 du 16 octobre 2017 consid. 4.5.1; cf. également ULRICH WEDER, in StGB/JStG Kommentar, 21e éd. 2022, no 10 ad art. 189 CP; PHILIPP MAIER, op. cit., no 27 ad art. 189 CP). Tout comportement conduisant à un acte sexuel ou à un acte d'ordre sexuel non souhaité ne saurait être qualifié de viol ou de contrainte sexuelle, selon le droit applicable au moment des faits (ATF 131 IV 167 consid. 3.1; arrêt 6B_1057/2021 du 10 février 2022 consid. 2.1). Certes, la loi n'exige pas que la victime soit totalement hors d'état de résister. Le viol et la contrainte sexuelle restent toutefois des délits de violence, de sorte que les pressions d'ordre psychique visées par les art. 189 et 190 CP (dans leur ancienne teneur) doivent revêtir une intensité importante. L'effet produit sur la victime doit être grave et atteindre l'intensité d'un acte de violence ou d'une menace. C'est notamment le cas lorsque, compte tenu des circonstances et de la situation personnelle de la victime, on ne saurait attendre de résistance de sa part ou qu'on ne</w:t>
      </w:r>
    </w:p>
    <w:p>
      <w:r>
        <w:t>- 18 - saurait l'exiger et que l'auteur parvient à son but contre la volonté de la victime sans devoir toutefois user de violence ou de menaces (ATF 131 IV 167 consid. 3.1; arrêts 6B_395/2021 du 11 mars 2022 consid. 3.2.2; 6B_1057/2021 précité consid. 2.1). L'interprétation des art. 189 al. 1 et 190 al. 1 CP (dans leur teneur jusqu'au 30 juin 2024) doit notamment se référer à la question des possibilités raisonnables d'autoprotection de la victime (ATF 131 IV 167 consid. 3.1; 128 IV 106 consid. 3b; arrêt 6B_1057/2021 précité consid. 2.1). Sur le plan subjectif, la contrainte sexuelle et le viol sont des infractions intentionnelles. L'auteur doit savoir que la victime n'est pas consentante ou en accepter l'éventualité (ATF 148 IV 234 consid. 3.4 et les arrêts cités).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p. 239 et les arrêts cités). 3.1.3. Lorsque l'auteur profite d'une situation préexistante entraînant une dépendance de la victime envers lui, c'est l'infraction définie à l'art. 193 CP qui entre en considération. Les spécificités du rapport de dépendance et la faiblesse particulière de la victime influencent alors, sous l'angle de la faute, la sanction. En revanche, le juge appliquera les art. 189 ou 190 CP 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l'art. 193 CP se transforme en pressions psychiques selon les art. 189 et 190 CP (dans leur teneur jusqu'au 30 juin 2024), en tenant compte, en particulier, du fait que ces deux dernières normes répriment des infractions de violence. Elles doivent ainsi être interprétées dans la perspective des moyens que l'on peut attendre que la victime oppose. L'importance de l'influence exercée a, dans ce contexte, une portée</w:t>
      </w:r>
    </w:p>
    <w:p>
      <w:r>
        <w:t>- 19 - décisive (ATF 128 IV 106 consid. 3b; arrêts 6B_1307/2020 du 19 juillet 2021 consid. 2.1; 6B_785/2011 du 29 juin 2012 consid. 4.1; cf. ATF 146 IV 153 consid. 3.5.9). (…) 3.3. Pour déterminer si, au regard du droit applicable au moment des faits, l'intimé 3 [ndlr : Z.________] a fait usage d'un moyen de contrainte qui outrepasse la seule exploitation de la situation de détresse ou du lien de dépendance, ainsi que le soutient la recourante, il convient de procéder à une appréciation globale des circonstances concrètes déterminantes. 3.3.1. Il ressort des faits établis par la cour cantonale et incontestés à ce stade (art. 105 al. 1 LTF), que le jour du premier contact téléphonique entre les intéressés, l'intimé 3 a rappelé la recourante pour lui confirmer que quelqu'un lui avait fait du mal et que le diable était sur elle. Affirmant pouvoir l'aider, il a insisté pour la rencontrer et, après l'avoir fait monter dans son véhicule et lui avoir lu une sourate, il s'est approché d'elle et lui a touché les parties intimes avant de tenter de l'embrasser. La recourante a alors protesté. À ce stade, aucun élément ne permet de retenir un état de dépendance entre les intéressés, qui venaient de se rencontrer et étaient entrés en contact téléphoniquement le même jour. D'ailleurs, la recourante a su marquer son désaccord en protestant lors de l'attouchement et de la tentative d'obtenir un baiser. La nature de la relation entre les protagonistes ne saurait être assimilée à un lien de dépendance issu d'une relation entre un psychothérapeute et sa patiente (cf. supra consid. 3.1.1 in fine). En tout état, d'une part, le prétendu "processus de guérison" n'a été évoqué par l'intimé 3 que le lendemain, de sorte que ce processus n'avait pas encore commencé, et d'autre part, la recourante avait été en mesure de marquer une distance claire le jour de la rencontre. Aussi, il n'existait pas de "lien de dépendance de toute autre nature" au sens de l'art. 193 CP. En outre, le déroulement des faits tel qu'établi par la cour cantonale ne permet pas de discerner un état de</w:t>
      </w:r>
    </w:p>
    <w:p>
      <w:r>
        <w:t>- 20 - détresse préexistant, de nature à entraver sérieusement la recourante dans sa liberté de décision ou de résistance (cf. ATF 133 IV 49 consid. 4), puisqu'elle a précisément pu exercer un acte de résistance. S'agissant des rencontres suivantes, il ressort des faits établis que l'intimé 3 a téléphoné à la recourante le lendemain de la rencontre précitée et lui a ordonné de coucher avec lui, exposant que cela faisait partie du "processus de guérison". Il a précisé qu'il lui enverrait du mal si elle refusait. Lors des épisodes suivants, l'intimé 3 l'a convaincue d'entretenir avec lui une relation sexuelle complète en usant du même stratagème, en la persuadant que le mauvais oeil était sur elle et que lui seul était en mesure de l'aider. À nouveau, il est douteux qu'un lien de dépendance au sens de l'art. 193 CP était formé lorsque l'intimé 3 a ordonné à la recourante de coucher avec lui, sous la menace de lui envoyer du mal, faute pour le "processus de guérison" d'avoir été entamé avant la deuxième rencontre. Cette question peut toutefois souffrir de demeurer indécise. En effet, par l'ensemble du procédé employé, l'intimé 3 n'a pas uniquement profité d'une situation préexistante entraînant une éventuelle dépendance de la recourante ou une situation de détresse, mais a activement participé à la vulnérabiliser et a créé un environnement propice à la subordination. Il a ainsi contribué à ce qu'elle se trouve dans une situation sans issue en usant de moyens d'action excédant la seule exploitation d'un lien préexistant, au moyen d'un stratagème, comme le qualifie d'ailleurs la cour cantonale. En répétant que le mauvais oeil était sur elle et en lui indiquant qu'il lui enverrait du mal si elle refusait de coucher avec lui, alors même qu'il avait essuyé un refus dans son véhicule la veille, l'intimé</w:t>
      </w:r>
    </w:p>
    <w:p>
      <w:r>
        <w:rPr>
          <w:b/>
        </w:rPr>
        <w:t>E. 2.2</w:t>
      </w:r>
    </w:p>
    <w:p>
      <w:r>
        <w:t>Les conditions objectives de l’infraction de viol étant réalisées, il reste à examiner si les conditions subjectives de cette infraction (cf. consid. 2.1/3.1.2 ci-dessus), le sont également. En l’occurrence, il apparaît que Z.________ avait dès le départ l’intention d’entretenir des rapports sexuels avec la plaignante. Ainsi, lors de leur premier contact téléphonique, il lui a demandé une photo d’elle ; il lui a donné rendez-vous à Genève le jour suivant, l’a fait monter dans sa voiture, a tenté de lui toucher les parties intimes et de l’embrasser. A cet instant, elle lui a immédiatement fait part de son désaccord, marquant ainsi une distance claire dès leur rencontre. Compte tenu de ce refus, Z.________ a su que s’il voulait obtenir des faveurs sexuelles de la part de F.________, il devrait mettre en place une stratégie pour vaincre la résistance de sa victime. Dans ce contexte, il lui a dit que si elle voulait guérir elle devait entretenir une relation sexuelle avec lui et lui a demandé de venir à son domicile, « apprêtée », précisant que si elle se refusait à lui, il lui enverrait « le mal ». L’intimé a immédiatement, soit dès les premiers instants de sa rencontre avec l’appelante, exigé une relation sexuelle, ce qui en dit long sur ses intentions et l’absence de toute considération vis-à- vis des difficultés personnelles pour lesquelles sa victime venait solliciter son aide.</w:t>
      </w:r>
    </w:p>
    <w:p>
      <w:r>
        <w:t>- 23 - En agissant de la sorte, Z.________ a, en toute connaissance de cause, brisé l’opposition manifestée par l’appelante pour obtenir des prestations sexuelles malgré le refus qu’elle lui avait signifié. Il a agi avec conscience et volonté pour contraindre sa victime à subir trois rapports sexuels complets. Les éléments objectifs et subjectifs étant réalisés, Z.________ sera reconnu coupable de viol au sens de l’art. 190 aCP (dans sa version antérieure au 1er janvier 2024).</w:t>
      </w:r>
    </w:p>
    <w:p>
      <w:r>
        <w:rPr>
          <w:b/>
        </w:rPr>
        <w:t>E. 3</w:t>
      </w:r>
    </w:p>
    <w:p>
      <w:r>
        <w:t>a usé de menaces, respectivement de pressions psychiques pour amener la recourante à céder. Pour la recourante, le risque d'être atteinte par le mal au moyen de voies occultes pratiquées par un "guérisseur", alors qu'elle croyait à la magie noire et souffrait de troubles psychiques, était propre à lui faire redouter la survenance d'un préjudice sérieux, à l'effet de l'amener à céder. Selon les faits établis (art. 105 al. 1 LTF), la recourante craignait que l'intimé 3 agît contre elle par des voies occultes et c'est par "craintes de représailles" qu'elle s'est rendue chez lui. Ce</w:t>
      </w:r>
    </w:p>
    <w:p>
      <w:r>
        <w:t>- 21 - dernier, à qui la recourante avait indiqué qu'elle n'était pas bien et que quelqu'un lui faisait du mal, connaissait la situation personnelle de celle-ci. Dans ces circonstances, les menaces et le stratagème employés étaient de nature à engendrer chez la recourante une pression psychique d'une intensité importante, visant à briser sa résistance, contrairement à ce que prétend l'intimé 3 dans ses déterminations. En interprétant le comportement de l'intimé 3 dans la perspective des moyens que l'on peut attendre que la victime oppose, les éléments retenus en l'espèce suffisent à admettre que le premier a usé de menaces et a induit une pression psychique importante pour obtenir des faveurs sexuelles de la part de la recourante, qui avait marqué son opposition lors de la première rencontre. S'il fallait, par la suite, discerner un consentement de la recourante aux actes sexuels, celui-ci n'a pas seulement été altéré par une situation de détresse ou un lien de dépendance, mais a été obtenu par des moyens supplémentaires caractéristiques de la contrainte psychique (cf. en ce sens arrêt 6B_97/2013 du 15 avril 2013 consid. 3.4.1 et 3.5, concernant notamment l'instrumentalisation du rapport patient/soignant et de la dépendance de personnes fragilisées dans le cadre de jeux de rôle pour retrouver leur "vie de femme" ; ATF 131 IV 167 consid. 3.3, concernant l'auteur de menaces d'atteintes graves aux proches d'une victime adulte ; arrêt 6S.143/2002 du 11 juin 2002 consid. 3, concernant une patiente HIV dont le thérapeute prétendait que ses soins auraient permis d'éviter le développement du virus du SIDA). Ainsi, même à admettre l'existence d'une situation de détresse préexistante, voire un lien de dépendance à ce stade, l'intimé 3 a usé de moyens d'action excédant la seule exploitation de cette situation. L'existence de rapports sexuels complets à trois reprises est établie et n'est pas contestée conformément aux exigences requises (cf. art. 106 al. 2 LTF). Au vu de ce qui précède, la cour cantonale a violé le droit fédéral en écartant l'infraction prévue à l'art. 190 CP (dans sa teneur jusqu'au 30 juin 2024) pour les faits commis par l'intimé 3, au motif qu'il aurait profité d'un lien de dépendance préexistant. Le recours doit être admis sur ce point et la cause renvoyée à la cour cantonale afin qu'elle</w:t>
      </w:r>
    </w:p>
    <w:p>
      <w:r>
        <w:t>- 22 - examine les conditions subjectives de l'infraction de viol, et traite, cas échéant, les points qui en découlent. 3.3.2. Pour le surplus, la recourante ne tente d'aucune manière de démontrer dans quelle mesure la cour cantonale aurait violé le droit fédéral en écartant l'infraction de contrainte sexuelle (art. 189 CP, dans sa teneur jusqu'au 30 juin 2024) pour les faits reprochés à l'intimé 3. En particulier, elle ne prétend pas qu'un acte analogue à l'acte sexuel ou d'autres actes d'ordre sexuel auraient été commis par celui-ci. En définitive, la recourante échoue à démontrer dans quelle mesure la cour cantonale aurait violé le droit fédéral quant à la qualification du complexe de faits du jour de la rencontre. ».</w:t>
      </w:r>
    </w:p>
    <w:p>
      <w:r>
        <w:rPr>
          <w:b/>
        </w:rPr>
        <w:t>E. 3.1</w:t>
      </w:r>
    </w:p>
    <w:p>
      <w:r>
        <w:t>Z.________ devant être condamné pour trois épisodes de viol, il convient de fixer la peine.</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t>- 24 -</w:t>
      </w:r>
    </w:p>
    <w:p>
      <w:r>
        <w:rPr>
          <w:b/>
        </w:rPr>
        <w:t>E. 3.2.2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6B_1268/2023 du 21 décembre 2023 consid. 4.1 et les références citées).</w:t>
      </w:r>
    </w:p>
    <w:p>
      <w:r>
        <w:t>- 25 -</w:t>
      </w:r>
    </w:p>
    <w:p>
      <w:r>
        <w:rPr>
          <w:b/>
        </w:rPr>
        <w:t>E. 3.3</w:t>
      </w:r>
    </w:p>
    <w:p>
      <w:r>
        <w:t>En l’occurrence, la culpabilité de Z.________ est lourde. Il a élaboré un stratagème fondé sur ses prétendues facultés de « guérisseur » pour mettre en place des moyens de contrainte sur sa victime afin d’assouvir ses pulsions sexuelles en annihilant les capacités de résistance de cette dernière dont il connaissait les fragilités. L’intimé a exploité, sur la durée, la situation de contrainte créée, obtenant plusieurs relations sexuelles. Il n’a eu absolument aucune considération pour sa victime, profitant lâchement de la situation de détresse personnelle dans laquelle elle se trouvait pour arriver plus facilement à ses fins. Ses agissements sont d’autant plus graves à cet égard. L’intimé ne montre en outre aucun signe quelconque de remise en question, persistant à nier tout acte sexuel avec la plaignante. Cette attitude, qui fait obstacle à toute prise de conscience, est particulièrement préoccupante s’agissant d’un individu qui s’affiche comme « guérisseur » et prétend exercer en cette qualité. L’absence d’antécédents au casier judiciaire de l’intimé au moment des faits est un élément neutre (ATF 142 IV 61 consid. 6.3.2). Les trois viols entrent en concours au sens de l’art. 49 al. 1 CP. Etant donné la nature et la gravité des infractions commises, ainsi que de l’attitude de déni dans laquelle il s’est enferré, une peine privative de liberté de six ans devrait être prononcée, les trois viols devant être considérés comme étant de gravité identique. Compte tenu des éléments à décharge, à savoir l’ancienneté des faits et la reconnaissance de dettes signée par l’intimé à l’audience d’appel, ainsi que du concours rétrospectif se rapportant à la peine privative de liberté de 12 mois infligée à l’intimé en 2021, c’est en définitive une peine privative de liberté entièrement complémentaire de 4 ans qui doit être prononcée à son encontre.</w:t>
      </w:r>
    </w:p>
    <w:p>
      <w:r>
        <w:rPr>
          <w:b/>
        </w:rPr>
        <w:t>E. 4</w:t>
      </w:r>
    </w:p>
    <w:p>
      <w:r>
        <w:t>Dans sa déclaration d’appel, l’appelante avait conclu à l’allocation d’une indemnité en tort moral de 3'000 fr. avec intérêts à 5 % l’an dès le 1er janvier 2013. La victime est une femme en souffrance psychologique sévère et au parcours de vie marqué par des traumatismes. Il n’en demeure pas moins que les violences sexuelles infligées par l’intimé justifient</w:t>
      </w:r>
    </w:p>
    <w:p>
      <w:r>
        <w:t>- 26 - pleinement l’allocation de l’indemnité en tort moral qu’elle a requise, que ce soit dans son principe que pour sa quotité, étant rappelé que l’intimé s’est reconnu débiteur du montant réclamé à l’audience d’appel (cf. p. 3 du jugement).</w:t>
      </w:r>
    </w:p>
    <w:p>
      <w:r>
        <w:rPr>
          <w:b/>
        </w:rPr>
        <w:t>E. 5.1</w:t>
      </w:r>
    </w:p>
    <w:p>
      <w:r>
        <w:t>En définitive, l’appel de F.________ doit être partiellement admis et le jugement entrepris modifié dans le sens des considérants qui précèdent.</w:t>
      </w:r>
    </w:p>
    <w:p>
      <w:r>
        <w:rPr>
          <w:b/>
        </w:rPr>
        <w:t>E. 5.2</w:t>
      </w:r>
    </w:p>
    <w:p>
      <w:r>
        <w:t>Compte tenu de la condamnation de l’intimé, il convient de mettre une partie des frais de justice de première instance, par 13'763 fr. 10, à sa charge, ces frais comprenant notamment la moitié de l’indemnité allouée au conseil juridique gratuit de F.________ et la totalité de l’indemnité de son défenseur d’office. Le solde sera laissé à la charge de l’Etat. Z.________ sera tenu de rembourser à l’Etat le montant d’indemnité du conseil juridique gratuit et de son défenseur d’office mis à sa charge dès que sa situation financière le permettra (art. 135 al. 4 et 138 CPP).</w:t>
      </w:r>
    </w:p>
    <w:p>
      <w:r>
        <w:rPr>
          <w:b/>
        </w:rPr>
        <w:t>E. 5.3</w:t>
      </w:r>
    </w:p>
    <w:p>
      <w:r>
        <w:t>Pour la procédure d’appel antérieure à l’arrêt du Tribunal fédéral du 23 septembre 2024 et conformément au jugement rendu le 4 septembre 2023 par la Cour d’appel pénale, une indemnité de 626 fr. 75, TVA et débours inclus, sera allouée à Me Paul Arthur Treyvaud, et une indemnité de 2'156 fr. 05, TVA et débours inclus, sera allouée à Me Baris Bostan, défenseurs d’office de Z.________. Une indemnité de 2’597 fr. 60 fr., TVA et débours inclus, sera allouée à Me Lida Lavi, conseil juridique gratuit de F.________. Vu l’issue de la cause, la moitié des émoluments de jugement et d’audience antérieurs à l’arrêt du Tribunal fédéral du 23 septembre 2024, par 1'285 fr., les indemnités des défenseurs d’office de l’intimé, par 2'782 fr. 80, et la moitié de l’indemnité du conseil juridique gratuit de</w:t>
      </w:r>
    </w:p>
    <w:p>
      <w:r>
        <w:t>- 27 - l’appelante, par 1'298 fr. 80, sont mis à la charge de Z.________, le solde étant laissé à la charge de l’Etat. Z.________ sera tenu de rembourser à l’Etat le montant d’indemnité du conseil juridique gratuit et de son défenseur d’office mis à sa charge dès que sa situation financière le permettra (art. 135 al. 4 CPP et 138 CPP).</w:t>
      </w:r>
    </w:p>
    <w:p>
      <w:r>
        <w:rPr>
          <w:b/>
        </w:rPr>
        <w:t>E. 5.4</w:t>
      </w:r>
    </w:p>
    <w:p>
      <w:r>
        <w:t>Pour la procédure postérieure à l’arrêt du Tribunal fédéral du 23 septembre 2024, Me Baris Bostan a produit une liste d’opérations faisant état d’une activité de 7h55 (P. 85). On peut admettre ce temps en adaptant la durée de l’audience, qui a durée 1h00 au lieu des 2h00 estimées. C’est ainsi une indemnité d’office d’un montant total de 1'502 fr. 50, correspondant à 6h55 d’activité au tarif horaire d’avocat de 180 fr., par 1’245 fr. des débours à concurrence de 2 % (art. 3bis al. 1 RAJ [règlement sur l’assistance judiciaire en matière civile du 7 décembre 2010 ; BLV 211.02.3], applicable par renvoi de l’art. 26b TFIP [tarif des frais de procédure et indemnités en matière pénale du 28 septembre 2010 ; BLV 312.03.1]), par 24 fr. 90, une vacation à 120 fr. et la TVA, par 112 fr. 60, qui sera allouée au défenseur d’office de l’appelant. Me Lida Lavi, conseil juridique gratuit de F.________ a produit une liste d’opérations faisant état d’une activité de 13h30, ce qui est un peu excessif. Il convient de retrancher 1h30 du poste conférence cliente et 2h30 de préparation de l’audience. En effet, Me Lavi était déjà le conseil de la plaignante, en première instance et lors de la première procédure d’appel, de sorte qu’elle connaissait bien le dossier et ses enjeux. On déduira encore 1h30 pour le déplacement, celui-ci étant indemnisé au tarif forfaitaire de 120 fr. pour une vacation. Enfin, l’audience a duré 1h00 et non 2h00, de sorte qu’une heure sera encore retranchée à ce titre. En définitive c’est une indemnité totale d’un montant de 1'519 fr. correspondant à 7h00 d’activité au tarif horaire d’avocat de 180 fr., par 1’260 fr. des débours à concurrence de 2 %, par 25 fr. 20, une vacation à 120 fr. et la TVA, par 113 fr. 80, qui sera allouée au conseil juridique gratuit de F.________.</w:t>
      </w:r>
    </w:p>
    <w:p>
      <w:r>
        <w:t>- 28 - Les frais d’appel postérieurs à l’arrêt du Tribunal fédéral du 23 septembre 2023, par 5'621 fr. 50, constitués de l'émolument du présent jugement, par 2’600 fr. (art. 21 al. 1 TFIP), et des indemnités allouées au défenseur d'office de Z.________ par 1'502 fr. 50 et au conseil juridique gratuit de F.________ par 1'519 fr.,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