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PE20.017389 vom 17. März 2023</w:t>
      </w:r>
    </w:p>
    <w:p>
      <w:r>
        <w:t>VD Tribunal cantonal, 2023-03-17, FR</w:t>
      </w:r>
    </w:p>
    <w:p>
      <w:r>
        <w:rPr>
          <w:b/>
        </w:rPr>
        <w:t xml:space="preserve">Quelle: </w:t>
      </w:r>
      <w:r>
        <w:t>https://mcp.opencaselaw.ch/entscheid/vd_gerichte_PE20.017389</w:t>
      </w:r>
    </w:p>
    <w:p>
      <w:r>
        <w:t>FR: VD_GERICHTE PE20.017389 du 17 mars 2023</w:t>
      </w:r>
    </w:p>
    <w:p>
      <w:r>
        <w:t>IT: VD_GERICHTE PE20.017389 del 17 marzo 2023</w:t>
      </w:r>
    </w:p>
    <w:p>
      <w:pPr>
        <w:pStyle w:val="Heading2"/>
      </w:pPr>
      <w:r>
        <w:t>Erwägungen</w:t>
      </w:r>
    </w:p>
    <w:p>
      <w:r>
        <w:rPr>
          <w:b/>
        </w:rPr>
        <w:t>E. 25</w:t>
      </w:r>
    </w:p>
    <w:p>
      <w:r>
        <w:t>al. 1 LCaS-COVID-19 (cf. Message précité, p. 8215). Tombe ainsi sous le coup de la disposition pénale quiconque obtient intentionnellement un crédit Covid-19 en fournissant de fausses indications ou viole les prescriptions de l’art. 2 al. 2 LCaS-COVID-19, notamment l’interdiction générale de distribuer des dividendes (ibidem).</w:t>
      </w:r>
    </w:p>
    <w:p>
      <w:r>
        <w:t>- 17 - 3. 3.1 En l’espèce, il doit d’abord être relevé que toute opération consistant à utiliser un crédit Covid-19 pour de nouveaux investissements immobilisés qui ne sont pas des investissements de remplacement tombe sous le coup de la loi (art. 6 al. 2 let. b aOCaS-COVID-19). 3.2 Quoi qu’en dise la recourante, il apparaît, en l’état, plus que vraisemblable que la contrevaleur du prêt Covid dont elle a bénéficié ait servi à des fins privées. Les éléments mis en avant par le Ministère public permettent de supposer qu’il en a notamment été ainsi du motocycle dont le séquestre est litigieux. Contrairement à ce que soutient la recourante, cet achat, pour un prix de 5'300 fr., n’entre manifestement pas dans la couverture des besoins de liquidités de l’entreprise. D’ailleurs, la recourante ne démontre pas, ni même ne rend un tant soit peu vraisemblable, qu’avant cette acquisition, un tel véhicule était déjà utilisé dans le cadre de ses activités, notamment pour se rendre sur les chantiers. Il apparaît ainsi plus que vraisemblable que l’argent provenant du prêt Covid dont elle a bénéficié ait servi à des fins privées et que ces deniers aient, partant, une origine illicite (cf. consid. 3.1 ci-dessus). Dès lors, ce véhicule semble bien provenir d’une infraction à l’aOCaS-COVID- 19, ce qui n’exclut au demeurant nullement une origine en rapport avec les préventions d’escroquerie, de faux dans les titres ou de gestion déloyale. Partant, sa confiscation à l’issue de la procédure apparaît envisageable en cas de condamnation, de même que le prononcé d’une créance compensatrice en faveur de l’Etat. Il en va de même d’une éventuelle couverture des frais et des peines pécuniaires. Les conditions du séquestre du véhicule Honda NC 750 SD immatriculé VD [...] et de ses accessoires désignés dans l’ordonnance sont dès lors bien réunies. La Cour ajoutera qu’il pourra être remédié à la dépréciation éventuelle du motocycle et aux coûts de la fourrière par la voie d’un ordre de réalisation anticipée, comme cela a été le cas de la Porsche Cayenne séquestrée le 8 février 2022.</w:t>
      </w:r>
    </w:p>
    <w:p>
      <w:r>
        <w:t>- 18 - 3.3 Le recours dirigé contre l’ordonnance de séquestre du 8 février 2023, manifestement mal fondé, doit être rejeté sans échange d’écritures (art. 390 al. 2 CPP) et cette ordonnance confirmée.</w:t>
      </w:r>
    </w:p>
    <w:p>
      <w:r>
        <w:t>- 19 - Frais Au vu de ce qui précède, les frais d'arrêt pour les deux recours, par 1'760 fr. (art. 20 al. 1 TFIP [tarif des frais de procédure et indemnités en matière pénale du 28 septembre 2010 ; BLV 312.03.1]), seront mis à la charge de la recourante, qui succombe (art. 428 al. 1 CPP). Par ces motifs, la Chambre des recours pénale prononce : I. Le recours contre l’ordonnance de séquestre du 8 février 2023 est rejeté. II. L’ordonnance du 8 février 2023 est confirmée. III. Le recours contre l’ordonnance de refus partiel de consulter le dossier du 16 février 2023 est rejeté. IV. L’ordonnance du 16 février 2023 est confirmée. V. Les frais d’arrêt, par 1'760 fr. (mille sept cent soixante francs), sont mis à la charge de S.________. VI. L’arrêt est exécutoire. La présidente : Le greffier : Du Le présent arrêt, dont la rédaction a été approuvée à huis clos, est notifié, par l'envoi d'une copie complète, à : - Me Jean-Samuel Leuba, avocat (pour S.________), - Ministère public central,</w:t>
      </w:r>
    </w:p>
    <w:p>
      <w:r>
        <w:t>- 20 - et communiqué à : - Mme la Procureure de l’arrondissement de Lausanne, - Bureau des séquestres de la police cantonale vaudoise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