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PE20.017244 vom 31. Dezember 2021</w:t>
      </w:r>
    </w:p>
    <w:p>
      <w:r>
        <w:t>VD Tribunal cantonal, 2021-12-31, FR</w:t>
      </w:r>
    </w:p>
    <w:p>
      <w:r>
        <w:rPr>
          <w:b/>
        </w:rPr>
        <w:t xml:space="preserve">Quelle: </w:t>
      </w:r>
      <w:r>
        <w:t>https://mcp.opencaselaw.ch/entscheid/vd_gerichte_PE20.017244</w:t>
      </w:r>
    </w:p>
    <w:p>
      <w:r>
        <w:t>FR: VD_GERICHTE PE20.017244 du 31 décembre 2021</w:t>
      </w:r>
    </w:p>
    <w:p>
      <w:r>
        <w:t>IT: VD_GERICHTE PE20.017244 del 31 dicembre 2021</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le 15 décembre 2021, dès lors qu’elle est dirigée contre un procureur, soit un magistrat du Ministère public.</w:t>
      </w:r>
    </w:p>
    <w:p>
      <w:r>
        <w:rPr>
          <w:b/>
        </w:rPr>
        <w:t>E. 2</w:t>
      </w:r>
    </w:p>
    <w:p>
      <w:r>
        <w:t>- 5 -</w:t>
      </w:r>
    </w:p>
    <w:p>
      <w:r>
        <w:rPr>
          <w:b/>
        </w:rPr>
        <w:t>E. 2.1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 tances constatées objectivement doivent être prises en considération. Les impressions purement individuelles d'une des parties au procès ne sont pas décisives (ATF 144 I 159 consid. 4.3 ; ATF 143 IV 69 consid. 3.2 ; TF 1B_583/2019 du 17 février 2020 consid. 3.1).</w:t>
      </w:r>
    </w:p>
    <w:p>
      <w:r>
        <w:rPr>
          <w:b/>
        </w:rPr>
        <w:t>E. 2.2</w:t>
      </w:r>
    </w:p>
    <w:p>
      <w:r>
        <w:t>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 TF 1B_29/2020 du 11 septembre 2020 consid. 2.1 ; TF 1B_118/2020 du 27 juillet 2020 consid. 3.2).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t>- 6 -</w:t>
      </w:r>
    </w:p>
    <w:p>
      <w:r>
        <w:rPr>
          <w:b/>
        </w:rPr>
        <w:t>E. 2.3</w:t>
      </w:r>
    </w:p>
    <w:p>
      <w:r>
        <w:t>En l’espèce, la requérante se prévaut de l’arrêt du 30 juillet 2021 par lequel la Chambre des recours pénale a annulé l’ordonnance de non-entrée en matière et l’ordonnance de classement rendues le 20 janvier 2021 par le Procureur Gabriel Moret dans le cadre de la présente cause, et a renvoyé le dossier au Ministère public pour complément d’instruction. Selon le suivi des envois postaux, cet arrêt – qui était exécutoire selon le chiffre VI de son dispositif – a été envoyé pour notification aux parties le 24 novembre 2021 et a été réceptionné par la requérante le 25 novembre 2021. Dès cette date, celle-ci pouvait ainsi savoir que le dossier serait repris par le Procureur Gabriel Moret. Or, ce n’est que le 15 décembre 2021, soit 20 jours après avoir pris connaissance de l’arrêt de la Chambre des recours pénale, que L.________ a requis la récusation du Procureur Gabriel Moret. La demande de récusation est donc tardive. Par surabondance, si la demande de récusation avait été déposée en temps utile, elle aurait de toute manière dû être rejetée. En effet, les passages des ordonnances de non-entrée en matière et de classement annulées par la Chambre de céans, dont la requérante se prévaut, ne sont pas suffisamment caractérisés pour faire naître une apparence de prévention et pour que l’on puisse redouter, légitimement et objectivement, que le Procureur Gabriel Moret ne soit plus à même de poursuivre de manière impartiale l’instruction de la présente cause.</w:t>
      </w:r>
    </w:p>
    <w:p>
      <w:r>
        <w:rPr>
          <w:b/>
        </w:rPr>
        <w:t>E. 3</w:t>
      </w:r>
    </w:p>
    <w:p>
      <w:r>
        <w:t>Au vu de ce qui précède, la demande de récusation présentée par L.________ est irrecevable. Les frais de procédure, constitués en l’espèce du seul émolument de décision, par 660 fr. (art. 20 al. 1 TFIP [Tarif des frais de procédure et indemnités en matière pénale du 28 septembre 2010 ; BLV 312.03.1]), seront mis à la charge de la requérante, qui succombe (art. 59 al. 4, seconde phrase, CPP).</w:t>
      </w:r>
    </w:p>
    <w:p>
      <w:r>
        <w:t>- 7 - Par ces motifs, la Chambre des recours pénale prononce : I. La demande de récusation est irrecevable. II. Les frais de la décision, par 660 fr. (six cent soixante francs), sont mis à la charge de L.________. III. La décision est exécutoire. Le président : La greffière : Du La présente décision, dont la rédaction a été approuvée à huis clos, est notifiée, par l'envoi d'une copie complète, à : - Me Loïc Parein, avocat (pour L.________),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