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PE20.017114 vom 3. Februar 2021</w:t>
      </w:r>
    </w:p>
    <w:p>
      <w:r>
        <w:t>VD Tribunal cantonal, 2021-02-03, FR</w:t>
      </w:r>
    </w:p>
    <w:p>
      <w:r>
        <w:rPr>
          <w:b/>
        </w:rPr>
        <w:t xml:space="preserve">Quelle: </w:t>
      </w:r>
      <w:r>
        <w:t>https://mcp.opencaselaw.ch/entscheid/vd_gerichte_PE20.017114</w:t>
      </w:r>
    </w:p>
    <w:p>
      <w:r>
        <w:t>FR: VD_GERICHTE PE20.017114 du 3 février 2021</w:t>
      </w:r>
    </w:p>
    <w:p>
      <w:r>
        <w:t>IT: VD_GERICHTE PE20.017114 del 3 febbraio 2021</w:t>
      </w:r>
    </w:p>
    <w:p>
      <w:pPr>
        <w:pStyle w:val="Heading2"/>
      </w:pPr>
      <w:r>
        <w:t>Erwägungen</w:t>
      </w:r>
    </w:p>
    <w:p>
      <w:r>
        <w:rPr>
          <w:b/>
        </w:rPr>
        <w:t>E. 1.1</w:t>
      </w:r>
    </w:p>
    <w:p>
      <w:r>
        <w:t>Aux termes de l’art. 393 al. 1 let. a CPP, le recours est recevable contre les décisions et actes de procédure de la police, du</w:t>
      </w:r>
    </w:p>
    <w:p>
      <w:r>
        <w:t>- 3 - Ministère public et des autorités pénales compétentes en matière de contraventions. Une ordonnance de séquestre (art. 263 CPP) rendue par le Ministère public dans le cadre de la procédure préliminaire est ainsi susceptible de recours selon les art. 393 ss CPP (Moreillon/Parein- Reymond, Petit Commentaire du Code de procédure pénale, 2e éd., Bâle 2016, n. 24 ad art. 263 CPP). Ce recours s’exerce par écrit dans les dix jours devant l’autorité de recours (art.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w:t>
      </w:r>
    </w:p>
    <w:p>
      <w:r>
        <w:rPr>
          <w:b/>
        </w:rPr>
        <w:t>E. 1.2</w:t>
      </w:r>
    </w:p>
    <w:p>
      <w:r>
        <w:t>En l’espèce, interjeté en temps utile par le prévenu, qui se prétend propriétaire des objets séquestrés, et qui a donc un intérêt juridique à l’annulation ou à la modification de l’ordonnance entreprise (art. 382 al. 1 CPP), le recours est recevable.</w:t>
      </w:r>
    </w:p>
    <w:p>
      <w:r>
        <w:rPr>
          <w:b/>
        </w:rPr>
        <w:t>E. 2.1</w:t>
      </w:r>
    </w:p>
    <w:p>
      <w:r>
        <w:t>Le recourant fait valoir que le défaut de motivation de l'ordonnance de séquestre serait patent et qu'il violerait son droit d'être entendu, ce qui devrait conduire à l'annulation de cette décision.</w:t>
      </w:r>
    </w:p>
    <w:p>
      <w:r>
        <w:rPr>
          <w:b/>
        </w:rPr>
        <w:t>E. 2.2</w:t>
      </w:r>
    </w:p>
    <w:p>
      <w:r>
        <w:t>; CREP 3 avril 2020/250 consid. 3; CREP 4 septembre 2019/720 consid. 3). Les frais de la procédure de recours, par 550 fr. (art. 20 al. 1 TFIP [tarif des frais de procédure et indemnités en matière pénale du 28 septembre 2010; BLV 312.03.1]), ainsi que les frais imputables à la défense d’office (art. 422 al. 1 et 2 let. a CPP), fixés à 395 fr. 45, montant arrondi à 396 fr., qui comprennent des honoraires par 360 fr. (deux heures d’activité raisonnable au tarif horaire de 180 fr.), des débours forfaitaires par 7 fr. 20 (cf. art. 26b TFIP qui renvoie à l'art. 3bis RAJ [règlement sur l’assistance judiciaire en matière civile du 7 décembre 2010; BLV 211.02.3]), et la TVA sur le tout, au taux de 7,7%, par 28 fr. 30, seront laissés à la charge de l’Etat (art. 428 al. 4 CPP). Par ces motifs, la Chambre des recours pénale prononce : I. Le recours est admis. II. L’ordonnance du 4 janvier 2021 est annulée. III. Le dossier de la cause est renvoyé au Ministère public de l'arrondissement de La Côte pour qu’il rende une nouvelle décision dans le sens des considérants dans un délai de dix jours dès la notification du présent arrêt. IV. Le séquestre n° 41535 est maintenu jusqu’à droit connu sur la décision à rendre par le Ministère public de l'arrondissement de La Côte conformément au chiffre III ci-dessus, à la condition que cette décision intervienne dans le délai imparti.</w:t>
      </w:r>
    </w:p>
    <w:p>
      <w:r>
        <w:t>- 6 - V. L’indemnité allouée au défenseur d’office de Z.________ est fixée à 396 fr. (trois cent nonante-six francs). VI. Les frais d’arrêt, par 550 fr. (cinq cent cinquante francs), ainsi que l’indemnité due au défenseur d’office de Z.________, par 396 fr. (trois cent nonante-six francs), sont laissés à la charge de l’Etat. VII. L’arrêt est exécutoire. Le président : La greffière : Du Le présent arrêt, dont la rédaction a été approuvée à huis clos, est notifié, par l'envoi d'une copie complète, à : - Me Albert Habib, avocat (pour Z.________), - Ministère public central, et communiqué à : - M. le Procureur de l’arrondissement de La Côte,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2.3</w:t>
      </w:r>
    </w:p>
    <w:p>
      <w:r>
        <w:t>En l’occurrence, le Ministère public s’est limité dans son ordonnance de séquestre, pour toute motivation, à reprendre une partie du texte de l’art. 263 al. 1 let. d CPP, sans indiquer en quoi les conditions légales seraient réunies. Or, cette seule mention est insuffisante. Il ne peut être remédié à une telle carence par des déterminations déposées en procédure de recours. Pour ce motif, l’ordonnance attaquée doit être annulée, sans qu’il y ait lieu d’examiner plus avant les autres arguments du recourant.</w:t>
      </w:r>
    </w:p>
    <w:p>
      <w:r>
        <w:rPr>
          <w:b/>
        </w:rPr>
        <w:t>E. 3</w:t>
      </w:r>
    </w:p>
    <w:p>
      <w:r>
        <w:t>Il résulte de ce qui précède que le recours doit être admis, l'ordonnance du 4 janvier 2021 annulée et le dossier de la cause</w:t>
      </w:r>
    </w:p>
    <w:p>
      <w:r>
        <w:t>- 5 - renvoyé au Ministère public de l'arrondissement de La Côte afin qu’il rende une nouvelle décision motivée dans les dix jours dès la notification du présent arrêt. Le séquestre sera maintenu jusqu'à droit connu sur la nouvelle décision du Ministère public pour autant que cette décision intervienne dans le délai imparti (cf. notamment CREP 11 novembre 2020/845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