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PE20.016807 vom 13. August 2021</w:t>
      </w:r>
    </w:p>
    <w:p>
      <w:r>
        <w:t>VD Tribunal cantonal, 2021-08-13, FR</w:t>
      </w:r>
    </w:p>
    <w:p>
      <w:r>
        <w:rPr>
          <w:b/>
        </w:rPr>
        <w:t xml:space="preserve">Quelle: </w:t>
      </w:r>
      <w:r>
        <w:t>https://mcp.opencaselaw.ch/entscheid/vd_gerichte_PE20.016807</w:t>
      </w:r>
    </w:p>
    <w:p>
      <w:r>
        <w:t>FR: VD_GERICHTE PE20.016807 du 13 août 2021</w:t>
      </w:r>
    </w:p>
    <w:p>
      <w:r>
        <w:t>IT: VD_GERICHTE PE20.016807 del 13 agosto 2021</w:t>
      </w:r>
    </w:p>
    <w:p>
      <w:pPr>
        <w:pStyle w:val="Heading2"/>
      </w:pPr>
      <w:r>
        <w:t>Erwägungen</w:t>
      </w:r>
    </w:p>
    <w:p>
      <w:r>
        <w:rPr>
          <w:b/>
        </w:rPr>
        <w:t>E. 2</w:t>
      </w:r>
    </w:p>
    <w:p>
      <w:r>
        <w:t>et les réf. citées).</w:t>
      </w:r>
    </w:p>
    <w:p>
      <w:r>
        <w:rPr>
          <w:b/>
        </w:rPr>
        <w:t>E. 3.1</w:t>
      </w:r>
    </w:p>
    <w:p>
      <w:r>
        <w:t>La recourante conteste le classement, reprochant au Ministère public d’avoir retenu que la prévenue avait touché son véhicule par inadvertance. Elle fait valoir que Z.________ connaissait la configuration du garage souterrain, que celle-ci aurait dû redoubler d’attention en sortant sa voiture, qu’en voulant s’enfuir, elle serait sortie de sa place de stationnement à grande vitesse sans se soucier de son véhicule, qu’elle aurait accepté de ce fait l’éventualité de heurter une ou plusieurs voitures présentes dans le garage et que l’on ne saurait retenir une éventuelle négligence de la part de Z.________.</w:t>
      </w:r>
    </w:p>
    <w:p>
      <w:r>
        <w:rPr>
          <w:b/>
        </w:rPr>
        <w:t>E. 3.2</w:t>
      </w:r>
    </w:p>
    <w:p>
      <w:r>
        <w:t>Selon l'art. 144 al. 1 CP, se rend coupable de dommages à la propriété celui qui aura endommagé, détruit ou mis hors d'usage une chose appartenant à autrui ou frappée d'un droit d'usage ou d'usufruit au bénéfice d'autrui. L’objet de l’infraction est une chose mobilière ou immobilière (Weissenberger, in : Niggli/ Wiprächtiger (éd.), Basler Kommentar, Strafrecht II, 4e éd. 2019, n. 5 ad art. 144 CP, p. 3044 et réf.). Il y a dommage lorsque la chose est altérée dans sa substance de telle sorte que, par exemple, son usage, sa fonction ou son aspect extérieur s’en trouvent modifiés (Weissenberger, op. cit., n. 22 ad art. 144 CP, p. 3047 ; Hurtado Pozo, Droit pénal, Partie spéciale, 2009, nn. 1087 ss et réf. cit.).</w:t>
      </w:r>
    </w:p>
    <w:p>
      <w:r>
        <w:t>- 7 - Sur le plan subjectif,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(cf. art. 12 al. 2 CP ; ATF 116 IV 145 ; Dupuis et al., Petit Commentaire du Code pénal, 2e éd., Bâle 2017, n. 16 ad art. 144 CP et réf. cit. ; Corboz, Les infractions en droit suisse, vol. I, 3e éd., Berne 2010, n. 23 ad art. 144). L'art. 144 CP ne réprime donc pas les dommages à la propriété causés par négligence.</w:t>
      </w:r>
    </w:p>
    <w:p>
      <w:r>
        <w:rPr>
          <w:b/>
        </w:rPr>
        <w:t>E. 3.3</w:t>
      </w:r>
    </w:p>
    <w:p>
      <w:r>
        <w:t>En l’espèce, le Ministère public a retenu que les éléments constitutifs de l’infraction de dommages à la propriété n’étaient pas réalisés, dès lors qu’il n’était pas établi que Z.________ avait commis cette infraction intentionnellement. Cette appréciation ne prête pas le flanc à la critique et doit être confirmée. En effet, à la fin de la violente altercation que la recourante a eue avec Z.________, cette dernière est montée dans sa voiture pour s’en aller. En quittant sa place de stationnement avec son véhicule, celui-ci a heurté le véhicule de la recourante qui était garé juste à côté du sien, occasionnant des dommages au véhicule d’A.P.________ et à son propre véhicule, ce qui n’est pas contesté par Z.________. Lors de ses auditions, Z.________ a expliqué à chaque fois qu’elle était alors concentrée sur la recourante qui se tenait devant son véhicule pour l’empêcher de quitter les lieux et qu’elle avait avancé doucement avec sa voiture pour ne pas la blesser (PV aud. 2 p. 2 ; PV aud. 5 p. 3 ; PV aud. 7 p. 3 ll. 73-75). La recourante a pour sa part confirmé qu’elle s’était mise sur le chemin du véhicule de Z.________ pour l’empêcher de partir (PV aud. 1 p. 2 ; PV aud. 3 p. 3 ; PV aud. 7 p. 4 ll. 131-133). Ainsi, à l’instar de la procureure, on peut exclure, compte tenu de l’étroitesse des places de stationnement des véhicules des parties et des circonstances dans lesquelles elle a quitté les lieux, que Z.________ avait conscience, au moment où elle a entrepris de partir avec son véhicule, des conséquences dommageables que son départ dans la hâte pouvait avoir sur le véhicule de la recourante, d’autant</w:t>
      </w:r>
    </w:p>
    <w:p>
      <w:r>
        <w:t>- 8 - qu’elle avait peur de blesser cette dernière avec son véhicule et qu’elle a également endommagé son propre véhicule au cours de sa manœuvre. Il s’ensuit que le Ministère public était fondé à ordonner un classement, un acquittement de la prévenue apparaissant bien plus vraisemblable qu’une condamnation.</w:t>
      </w:r>
    </w:p>
    <w:p>
      <w:r>
        <w:rPr>
          <w:b/>
        </w:rPr>
        <w:t>E. 4.1</w:t>
      </w:r>
    </w:p>
    <w:p>
      <w:r>
        <w:t>La recourante conclut à ce que les frais de première instance soient mis intégralement à la charge de Z.________. Elle fait valoir que le Ministère public aurait dû statuer sur la répartition des frais dans chacune des ordonnances qu’il a rendues et que les frais devraient être mis à la charge de Z.________, celle-ci ayant à tout le moins commis une faute civile.</w:t>
      </w:r>
    </w:p>
    <w:p>
      <w:r>
        <w:rPr>
          <w:b/>
        </w:rPr>
        <w:t>E. 4.2</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Une condamnation aux frais ne</w:t>
      </w:r>
    </w:p>
    <w:p>
      <w:r>
        <w:t>- 9 -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arrêts cités). En outre, le juge doit fonder sa décision sur des faits incontestés ou déjà clairement établis (ATF 112 Ia 371 consid. 2a ; TF 6B_1462/2020 du 4 février 2021 consid. 2).</w:t>
      </w:r>
    </w:p>
    <w:p>
      <w:r>
        <w:rPr>
          <w:b/>
        </w:rPr>
        <w:t>E. 4.3</w:t>
      </w:r>
    </w:p>
    <w:p>
      <w:r>
        <w:t>En l’espèce, le Ministère public a dit que les frais de la procédure suivaient le sort de la cause, dès lors qu’une ordonnance pénale était rendue en parallèle. Il y a d’emblée lieu de relever que la manière de procéder de la procureure n’est pas admissible, chaque ordonnance devant arrêter les frais relatifs aux points qu’elle traite. Le Ministère public ne pouvait donc pas se contenter, dans l’ordonnance de classement, de prononcer que les frais suivaient le sort de la cause, et laisser ainsi penser que les frais liés à l’ordonnance de classement complétaient ceux liés à l’ordonnance pénale. Il lui appartenait au contraire de statuer sur le montant des frais et leur répartition dans chaque ordonnance, en fonction de la décision prise et du résultat distinct de chaque aspect de la procédure (CREP 17 avril 2021/341). Au vu de ce qui précède, les frais de la procédure préliminaire devront être répartis entre l’ordonnance pénale et l’ordonnance de classement, et, s’agissant des faits ayant donné lieu au classement, pourront être mis à la charge de la prévenue s’il s’avère qu’elle a commis une faute civile au sens de l’art. 41 CO (Code des obligations du 30 mars 1911 ; RS 220). Il appartiendra au Ministère public, respectivement au Tribunal de police (cf. art. 356 CPP) dans le cadre de l’examen des oppositions à l’ordonnance pénale, de statuer sur les frais liés à chacune des ordonnances, lesquels devront correspondre uniquement aux infractions concernées par l’ordonnance en question, puis de décider du</w:t>
      </w:r>
    </w:p>
    <w:p>
      <w:r>
        <w:t>- 10 - sort de ces frais. Il convient dès lors d’annuler le chiffre III du dispositif de l’ordonnance attaquée, sans qu’il soit nécessaire d’examiner plus avant les arguments de la recourante.</w:t>
      </w:r>
    </w:p>
    <w:p>
      <w:r>
        <w:rPr>
          <w:b/>
        </w:rPr>
        <w:t>E. 5.1</w:t>
      </w:r>
    </w:p>
    <w:p>
      <w:r>
        <w:t>Au vu de ce qui précède, le recours interjeté par A.P.________ doit être partiellement admis et le chiffre III de l’ordonnance de classement attaquée annulé, l’ordonnance étant confirmée pour le surplus et la cause renvoyée au Ministère public pour qu’il procède dans le sens des considérants.</w:t>
      </w:r>
    </w:p>
    <w:p>
      <w:r>
        <w:rPr>
          <w:b/>
        </w:rPr>
        <w:t>E. 5.2</w:t>
      </w:r>
    </w:p>
    <w:p>
      <w:r>
        <w:t>La requête de Z.________ tendant à l’octroi de l’assistance judiciaire pour la procédure de recours – qui est uniquement recevable en tant qu’elle porte sur la désignation d’un défenseur d’office, dès lors que l’assistance judiciaire pour la procédure de recours, comprenant l’exonération des frais de procédure et d’avances de frais, ne peut être accordée qu’à la partie plaignante (cf. art. 136 CPP) et non au prévenu (cf. art. 132 CPP ; CREP 2 décembre 2015/793, JdT 2016 III 33 ; CREP 27 avril 2021/397 ; CREP 22 mars 2019/219) – est rejetée. La difficulté de la cause n’ayant pas justifié l’assistance d’un défenseur d’office durant l’instruction, il ne peut en aller différemment pour la procédure de recours, qui ne présente au demeurant aucune complexité.</w:t>
      </w:r>
    </w:p>
    <w:p>
      <w:r>
        <w:rPr>
          <w:b/>
        </w:rPr>
        <w:t>E. 5.3</w:t>
      </w:r>
    </w:p>
    <w:p>
      <w:r>
        <w:t>La recourante conclut à ce que les frais de la procédure de recours soient mis intégralement à la charge de Z.________, subsidiairement à ce qu’ils soient laissés à la charge de l’Etat. Quant à Z.________, elle conclut à ce que les frais de la procédure de recours soient mis à la charge d’A.P.________. Selon l’art. 428 al. 1 CPP, les frais de la procédure de recours sont mis à la charge des parties dans la mesure où elles ont obtenu gain de cause ou succombé. Pour déterminer si une partie succombe ou obtient gain de cause, il faut examiner dans quelle mesure ses conclusions sont admises (CREP 25 mars 2020/233 ; Domeisen, in Basler Kommentar,</w:t>
      </w:r>
    </w:p>
    <w:p>
      <w:r>
        <w:t>- 11 - Schweizerische Strafprozessordnung, 2e éd., Bâle 2014, n. 6 ad art. 428 CPP). Les frais d’arrêt, par 1'210 fr. (art. 20 al. 1 TFIP [Tarif des frais de procédure et indemnités en matière pénale du 28 septembre 2010 ; BLV 312.03.1]), seront mis par moitié, soit 605 fr., à la charge de A.P.________, qui succombe partiellement, et par moitié, soit 605 fr., à la charge de Z.________, qui a conclu au rejet du recours et qui succombe également partiellement (art. 428 al. 1 CPP).</w:t>
      </w:r>
    </w:p>
    <w:p>
      <w:r>
        <w:rPr>
          <w:b/>
        </w:rPr>
        <w:t>E. 5.4</w:t>
      </w:r>
    </w:p>
    <w:p>
      <w:r>
        <w:t>Obtenant partiellement gain de cause, la recourante, qui a procédé avec l’assistance d’un conseil de choix, a droit à une indemnité réduite pour les dépenses occasionnée par la procédure de recours au sens de l’art. 433 CPP fixée, sur la base de la liste des opérations produite (P. 34/1), à 900 fr., correspondant à 3 heures d’activité nécessaire d’avocat au tarif horaire de 300 fr., auxquels il convient d’ajouter des débours forfaitaires à concurrence de 2 % (art. 2 al. 1 let. a et 3bis al. 1 RAJ [Règlement sur l'assistance judiciaire en matière civile du 7 décembre 2010 ; BLV 211.02.3], applicables par renvoi de l’art. 26b TFIP), par 18 fr., plus la TVA, par 70 fr. 70, soit à 989 fr. au total en chiffres arrondis. Quant à l’intimée, qui a également obtenu partiellement gain de cause et qui a procédé avec l’assistance d’un défenseur de choix, elle a également droit à une indemnité réduite fixée, sur la base de la liste des opérations produites (P. 39/1), à 900 fr., correspondant à 3 heures d’activité nécessaire d’avocat au tarif horaire de 300 fr., auxquels il convient d’ajouter des débours forfaitaires à concurrence de 2 % (art. 2 al. 1 let. a et 3bis al. 1 RAJ, applicables par renvoi de l’art. 26b TFIP), par 18 fr., plus la TVA, par 70 fr. 70, soit à 989 fr. au total en chiffres arrondis. Tant la recourante que l’intimée ont ainsi droit à une indemnité réduite pour les dépenses occasionnées par la procédure de recours. L’ampleur des opérations utiles du représentant de la recourante ayant mené à l’adjudication partielle de ses conclusions équivaut à celle</w:t>
      </w:r>
    </w:p>
    <w:p>
      <w:r>
        <w:t>- 12 - des opérations utiles du représentant de l’intimée qui a conclu au rejet intégral du recours, pour un tarif horaire identique. Partant, il y a lieu de compenser les indemnités allouées à la recourante et à l’intimée pour la procédure de recours (CREP 2 juin 2020/222 ; CREP 31 mars 2017/198). Par ces motifs, la Chambre des recours pénale prononce : I. Le recours est partiellement admis. II. Le chiffre III du dispositif de l’ordonnance de classement du 7 juin 2021 est annulé. III. L’ordonnance de classement du 7 juin 2021 est confirmée pour le surplus. IV. Le dossier de la cause est renvoyé au Ministère public de l’arrondissement de Lausanne pour qu'il procède dans le sens des considérants. V. La requête d’assistance judiciaire gratuite de Z.________ est rejetée. VI. Les indemnités allouées à A.P.________ et à Z.________ pour la procédure de recours sont compensées. VII. Les frais d’arrêt, par 1'210 fr. (mille deux cent dix francs), sont mis par moitié, soit 605 fr. (six cent cinq francs), à la charge d’A.P.________ et par moitié, soit 605 fr. (six cent cinq francs), à la charge de Z.________. VIII. L’arrêt est exécutoire. Le président : La greffière :</w:t>
      </w:r>
    </w:p>
    <w:p>
      <w:r>
        <w:t>- 13 - Du Le présent arrêt, dont la rédaction a été approuvée à huis clos, est notifié, par l'envoi d'une copie complète, à : - Me Albert Habib, avocat (pour A.P.________), - Me Malory Fagone, avocate (pour Z.________),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