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PE20.016778 vom 27. Mai 2022</w:t>
      </w:r>
    </w:p>
    <w:p>
      <w:r>
        <w:t>VD Tribunal cantonal, 2022-05-27, FR</w:t>
      </w:r>
    </w:p>
    <w:p>
      <w:r>
        <w:rPr>
          <w:b/>
        </w:rPr>
        <w:t xml:space="preserve">Quelle: </w:t>
      </w:r>
      <w:r>
        <w:t>https://mcp.opencaselaw.ch/entscheid/vd_gerichte_PE20.016778</w:t>
      </w:r>
    </w:p>
    <w:p>
      <w:r>
        <w:t>FR: VD_GERICHTE PE20.016778 du 27 mai 2022</w:t>
      </w:r>
    </w:p>
    <w:p>
      <w:r>
        <w:t>IT: VD_GERICHTE PE20.016778 del 27 maggio 2022</w:t>
      </w:r>
    </w:p>
    <w:p>
      <w:pPr>
        <w:pStyle w:val="Heading2"/>
      </w:pPr>
      <w:r>
        <w:t>Erwägungen</w:t>
      </w:r>
    </w:p>
    <w:p>
      <w:r>
        <w:rPr>
          <w:b/>
        </w:rPr>
        <w:t>E. 4</w:t>
      </w:r>
    </w:p>
    <w:p>
      <w:r>
        <w:t>L'appelant ne conteste pas la peine en tant que telle qui doit toutefois être vérifiée d'office. La culpabilité de l’appelant est lourde. Il a agi durant plusieurs années, infligeant régulièrement de mauvais traitements à l'égard des deux enfants concernés, l'appelant échappant aux mauvais traitements infligés au troisième de ses fils qui n'a pas été pris en compte dans les faits dénoncés par le Ministère public. Les coups étaient arbitraires et l’appelant a choisi un mode d'éducation fondé sur la violence et le dénigrement. Aujourd’hui encore, il ne fait preuve d’aucune remise en question. Il n’a formulé aucun regret, persistant à nier les faits, n’hésitant pas à faire passer ses enfants pour des menteurs, l’accusant à tort de faits graves et étant manipulé par leur mère. Au stade de l’appel encore, il se positionne en victime d’une machination qui aurait été soigneusement élaborée par son ex-épouse. Les contraventions sont en concours. Enfin, on ne discerne aucune circonstance atténuante à prendre en considération, la situation d'un parent qui a pu sans doute se trouver dépassé en certaines circonstances par le comportement de ses enfants ne pouvant en aucun cas justifier l'usage systématique de la violence physique et psychologique. Au vu de ces éléments, l’amende de 1'000 fr. prononcée par le premier juge apparaît particulièrement clémente. Elle doit toutefois être</w:t>
      </w:r>
    </w:p>
    <w:p>
      <w:r>
        <w:t>- 13 - confirmée en raison du principe de l'interdiction de la reformatio in pejus. La peine privative de liberté de substitution en cas de non-paiement de l’amende est quant à elle en adéquation avec la sanction infligée.</w:t>
      </w:r>
    </w:p>
    <w:p>
      <w:r>
        <w:rPr>
          <w:b/>
        </w:rPr>
        <w:t>E. 5</w:t>
      </w:r>
    </w:p>
    <w:p>
      <w:r>
        <w:t>En définitive, l’appel d'X.________ doit être rejeté et le jugement de première instance intégralement confirmé. Vu l’issue de la cause, les frais de la procédure d’appel, constitués en l’espèce de l'émolument d’arrêt, par 900 fr. (art. 21 al. 1 TFIP [tarif des frais de procédure et indemnités en matière pénale du 28 septembre 2010 ; BLV 312.03.1]), seront mis à la charge de l’appelant, qui succombe (art. 428 al. 1, 1re phrase, CPP). Il n’y a pas matière à l’allocation d’une 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