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PE20.016345 vom 29. August 2022</w:t>
      </w:r>
    </w:p>
    <w:p>
      <w:r>
        <w:t>VD Tribunal cantonal, 2022-08-29, FR</w:t>
      </w:r>
    </w:p>
    <w:p>
      <w:r>
        <w:rPr>
          <w:b/>
        </w:rPr>
        <w:t xml:space="preserve">Quelle: </w:t>
      </w:r>
      <w:r>
        <w:t>https://mcp.opencaselaw.ch/entscheid/vd_gerichte_PE20.016345</w:t>
      </w:r>
    </w:p>
    <w:p>
      <w:r>
        <w:t>FR: VD_GERICHTE PE20.016345 du 29 août 2022</w:t>
      </w:r>
    </w:p>
    <w:p>
      <w:r>
        <w:t>IT: VD_GERICHTE PE20.016345 del 29 agosto 2022</w:t>
      </w:r>
    </w:p>
    <w:p>
      <w:pPr>
        <w:pStyle w:val="Heading2"/>
      </w:pPr>
      <w:r>
        <w:t>Erwägungen</w:t>
      </w:r>
    </w:p>
    <w:p>
      <w:r>
        <w:rPr>
          <w:b/>
        </w:rPr>
        <w:t>E. 1.1</w:t>
      </w:r>
    </w:p>
    <w:p>
      <w:r>
        <w:t>Les parties peuvent attaquer une ordonnance de classement rendue par le Ministère public en application des art. 319 ss CPP. Le recours doit être motivé et adressé par écrit dans un délai de dix jours dès la notification de la décision attaquée à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dans le délai légal auprès de l’autorité compétente par les parties plaignantes qui ont qualité pour recourir (art. 382 al. 1 CPP) et dans les formes prescrites (art. 385 CPP), le recours est recevable.</w:t>
      </w:r>
    </w:p>
    <w:p>
      <w:r>
        <w:t>- 17 -</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en vertu de dispositions légales (let. e). La décision de classer la procédure doit être prise en application du principe in dubio pro duriore. Ce principe, qui découle du principe de la légalité (art. 5 al. 1 Cst. et 2 al. 2 CPP en relation avec les art. 319 al. 1 et 324 al. 1 CPP ; ATF 138 IV 86 consid. 4.2) et qui vaut également pour l’autorité judiciaire chargée de l’examen d’une décision de classement, signifie qu’en règle générale, un classement ou une non- entrée en matière ne peuvent être prononcés que lorsqu’il apparaît clairement que les faits ne sont pas punissables ou que les conditions à la poursuite pénale ne sont pas remplies. Le Ministère public dispose,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cas de doute s’agissant de la situation factuelle ou juridique, ce n’est pas à l’autorité d’instruction ou d’accusation mais au juge matériellement compétent qu’il appartient de se prononcer (ATF 143 IV 241 consid. 2.2.1 ; ATF 138 IV 86 consid. 4.1.2 et les références citées ; TF 6B_1381/2021 du 24 janvier 2022 consid. 2). En revanche, le Ministère public doit classer la procédure s’il apparaît, sur la base de faits assez clairs pour qu’il n’y ait pas lieu de s’attendre à une appréciation différente de l’autorité de jugement (ATF 143 IV 241 consid. 2.3.2), qu’un renvoi aboutirait selon toute vraisemblance à un acquittement. Pour pouvoir constater légitimement que l’instruction ne corrobore aucun soupçon justifiant une mise en accusation (art. 319 al. 1</w:t>
      </w:r>
    </w:p>
    <w:p>
      <w:r>
        <w:t>- 18 - let. a CPP), le Ministère public doit avoir préalablement procédé, conformément à la maxime d’instruction (art. 6 al. 1 CPP), à toutes les mesures d’instruction susceptibles d’établir l’existence de soupçons suffisants justifiant une mise en accusation (CREP 11 février 2022/116 consid. 2.1).</w:t>
      </w:r>
    </w:p>
    <w:p>
      <w:r>
        <w:rPr>
          <w:b/>
        </w:rPr>
        <w:t>E. 3.1</w:t>
      </w:r>
    </w:p>
    <w:p>
      <w:r>
        <w:t>Les recourants contestent l’ordonnance de classement, faisant grief au Ministère public de n’avoir pas donné suite à leurs réquisitions, de sorte qu’il se justifierait de renvoyer le dossier de la cause pour complément d’instruction. En outre, ils invoquent une violation du principe in dubio pro duriore en ce sens que le Ministère public a procédé à une appréciation des différents témoignages recueillis pour écarter toute violation des règles de l’art, en outrepassant ses prérogatives, en tenant parfois un rôle d’expert et en passant sous silence un certain nombre d’éléments factuels à investiguer.</w:t>
      </w:r>
    </w:p>
    <w:p>
      <w:r>
        <w:rPr>
          <w:b/>
        </w:rPr>
        <w:t>E. 3.2.1</w:t>
      </w:r>
    </w:p>
    <w:p>
      <w:r>
        <w:t>L'art. 117 CP réprime le comportement de celui qui, par négligence, aura causé la mort d'une personne. La réalisation de cette infraction suppose ainsi la réunion de trois conditions : le décès d'une personne, une négligence et un lien de causalité naturel et adéquat entre la négligence et la mort. Si l'une de ces trois conditions fait défaut, le délit n'est pas réalisé (TF 6B_275/2015 du 22 juin 2016 consid. 3).</w:t>
      </w:r>
    </w:p>
    <w:p>
      <w:r>
        <w:rPr>
          <w:b/>
        </w:rPr>
        <w:t>E. 3.2.2</w:t>
      </w:r>
    </w:p>
    <w:p>
      <w:r>
        <w:t>Selon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w:t>
      </w:r>
    </w:p>
    <w:p>
      <w:r>
        <w:t>- 19 - Pour qu’il y ait négligence,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134 IV 255 consid. 4.2.3 ; ATF 133 IV 158 consid. 5.1). Un comportement viole le devoir de prudence lorsque l'auteur, au moment des faits, aurait pu et dû, au vu des circonstances, de ses connaissances et de ses capacités, se rendre compte qu'il mettait en danger des biens juridiquement protégés de la victime et qu'il excédait les limites du risque admissible (ATF 143 IV 138 consid. 2.1 ; ATF 136 IV 76 consid. 2.3.1, SJ 2011 I p. 86 ; ATF 135 IV 56 consid. 2.1 et les références citées, JdT 2010 IV 43 ; ATF 133 IV 158 consid. 5.1).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134 IV 255 consid. 4.2.3 et les références citées).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148 IV 39 consid. 2.3.3 ; ATF 145 IV 154 consid. 2.1 ; ATF 143 IV 138 consid. 2.1 ; ATF 135 IV 56 consid. 2.1). La violation des devoirs de la prudence peut aussi être déduite des principes généraux, si aucune règle spéciale de sécurité n'a été violée (ATF 135 IV 56 consid. 2.1 ; ATF133 IV 158 consid. 5.1 ; ATF 129 IV 119 consid. 2.1 ; TF 6B_934/2009 du 22 décembre 2009 consid. 1.1). Selon la jurisprudence, la particularité de l'art médical réside dans le fait que le médecin doit, avec ses connaissances et ses capacités, tendre vers le résultat désiré, mais n'a pas l'obligation de l'atteindre ou même de le garantir. Les exigences que le devoir de prudence impose au médecin sont fonction des circonstances du cas d'espèce, notamment du</w:t>
      </w:r>
    </w:p>
    <w:p>
      <w:r>
        <w:t>- 20 - genre d'intervention ou de traitement, des risques qui y sont liés, du pouvoir de jugement ou d'appréciation laissé au médecin, des moyens à disposition et de l'urgence de l'acte médical. La responsabilité pénale du médecin n'est pas limitée à la violation grave des règles de l'art médical. Il doit au contraire toujours soigner ses malades de façon appropriée et, en particulier observer la prudence imposée par les circonstances pour protéger leur vie ou leur santé. Par conséquent, le médecin répond en principe de tout manquement à ses devoirs (ATF 130 IV 7 consid. 3.3 et les références citées ; TF 6B_1287/2018 du 11 mars 2019 consid. 1.1). Pour déterminer l’étendue de la prudence requise, il faut partir du devoir général qu’a le médecin d’exercer l’art de la guérison selon les principes reconnus de la science médicale et de l’humanité, de tout entreprendre pour guérir son patient et d’éviter tout ce qui pourrait lui porter préjudice. Le médecin est tenu d'observer les règles de l'art médical, soit les principes établis par la science médicale, généralement reconnus et admis, communément suivis et appliqués par les praticiens (ATF 133 III 121 cons. 3.1). Il n'a pas à répondre des dangers ou des risques qui sont inhérents à tout acte médical et à toute maladie. La notion de manquement à ses devoirs ne doit pas être comprise de telle manière que chaque acte ou omission qui, par un jugement a posteriori, aurait provoqué le dommage ou l'aurait évité, entrerait dans cette définition. Par ailleurs, l'état de la science médicale confère souvent une latitude de jugement au médecin, tant en ce qui concerne le diagnostic que les mesures thérapeutiques ou autres, ce qui permet de faire un choix parmi les différentes possibilités qui entrent en considération. Le médecin viole en revanche ses devoirs lorsqu'il pose un diagnostic, choisit une thérapie ou définit une approche thérapeutique qui, selon l'état général des connaissances professionnelles, n'apparaît plus défendable et ne satisfait ainsi pas aux exigences objectives de l'art médical (ATF 134 IV 175 consid. 3.2 ; ATF 130 IV 7 consid. 3.3 ; TF 6B_1287/2018 précité consid. 1.1). En ce qui concerne plus particulièrement le diagnostic, le médecin n'est pas tenu d'en garantir l'exactitude. Il faut dès lors faire la distinction entre une véritable faute de diagnostic et un simple diagnostic erroné. Pour constater et apprécier une atteinte à la santé, le médecin doit</w:t>
      </w:r>
    </w:p>
    <w:p>
      <w:r>
        <w:t>- 21 - procéder dans chaque cas de manière adéquate et utiliser les moyens et les sources d'information nécessaires. Il doit clarifier les symptômes ambigus en utilisant les moyens à sa disposition. Le médecin fait preuve de négligence lorsque sa façon de faire n'est pas conforme aux règles établies et généralement reconnues par la science médicale et qu'elle ne correspond pas à l'état actuel des connaissances scientifiques (ATF 130 IV</w:t>
      </w:r>
    </w:p>
    <w:p>
      <w:r>
        <w:rPr>
          <w:b/>
        </w:rPr>
        <w:t>E. 3.2.3</w:t>
      </w:r>
    </w:p>
    <w:p>
      <w:r>
        <w:t>Il faut encore qu'il existe un rapport de causalité naturelle et adéquate entre la violation fautive du devoir de prudence et le décès de la victime. L’élément déterminant pour envisager l’imputation objective d’un résultat à un auteur est que ce dernier ait, par son comportement, réalisé l’une des conditions dont le résultat, dans sa manifestation concrète, est la conséquence (ATF 135 IV 56 consid. 3.1.2, JdT IV 43). Un comportement est la cause naturelle d'un résultat s’il en constitue l'une des conditions sine qua non, c'est-à-dire si, sans lui, le résultat ne se serait pas produit ou du moins pas de la même manière ; il n'est pas nécessaire que l'événement considéré soit la cause unique ou immédiate du résultat (ATF 139 V 176 consid. 8.4.1 et la référence citée). Le rapport de causalité est qualifié d'adéquat lorsque, d'après le cours ordinaire des choses et l'expérience de la vie, le comportement était propre à entraîner un résultat du genre de celui qui s'est produit (ATF 138 IV 57 consid. 4.1.3 p. 61 et l 'arrêt cité). La causalité adéquate sera admise même si le comportement de l'auteur n'est pas la cause directe ou unique du résultat. Peu importe que le résultat soit dû à d'autres causes, notamment à l'état de la victime, à son comportement ou à celui de tiers (ATF 131 IV 145 consid. 5.2 p. 148).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w:t>
      </w:r>
    </w:p>
    <w:p>
      <w:r>
        <w:t>- 22 - plus probable et la plus immédiate de l'événement considéré, reléguant à l'arrière-plan tous les autres facteurs qui ont contribué à l'amener et notamment le comportement de l'auteur (ATF 134 IV 255 consid. 4.4.2 et les arrêts cités). En outre, pour juger si l'on peut retenir à la charge du médecin qu'il a outrepassé les limites de sa marge d'appréciation, il ne faut pas se fonder sur l'état de fait tel qu'il apparaît après coup à l'expert ou au juge mais il faut se placer au moment où le médecin a décidé de prescrire une mesure ou s'en est abstenu (ATF 130 I 337 consid. 5.3). Il y a lieu de distinguer le comportement idéalement attendu (ex post), de celui nécessaire et possible à chaque étape de la prise en charge du patient (au moment des décisions prises, respectivement omises). C'est également au stade de l'examen de la causalité adéquate qu'il faut se placer ex ante pour décider si un acte était propre à produire ou à favoriser un résultat du genre de celui qui s'est produit (ATF 135 IV 56 consid. 2.2 et les références citées). En revanche, une autre question essentielle pour l'imputation du résultat, est de savoir quel est le danger qui a provoqué le résultat ou si le danger créé ou accru par l'auteur s'est réalisé dans le résultat, doit être traitée en fonction de toutes les circonstances connues ex post (ATF 135 IV 56 consid. 2.2 et les références citées). Face à une infraction de commission par omission où l'on reproche à l'auteur son inaction fautive, la problématique du lien de causalité entre l'omission et le résultat dommageable se pose sous un angle quelque peu différent. Dans ce contexte, il faut être à même de mettre en exergue un lien de causalité hypothétique entre le comportement que l'auteur aurait dû adopter et le résultat typique. Il s'agit d'établir, avec un degré de vraisemblance confinant à la certitude, que l'accomplissement de ce que l'auteur a omis d'exécuter contrairement aux devoirs qui lui incombaient aurait permis d'éviter la survenance du résultat, conformément à la théorie de la vraisemblance (Dupuis et al. [éd.], Petit Commentaire, Code pénal, 2eéd., Bâle 2017, n. 12 ad art. 117 CP et les références citées ; ATF 140 II 7 consid. 3.4 et la référence citée ; TF 6B_1055/2020 16 juin 2020 consid. 4.3.4 et les références citées).</w:t>
      </w:r>
    </w:p>
    <w:p>
      <w:r>
        <w:t>- 23 -</w:t>
      </w:r>
    </w:p>
    <w:p>
      <w:r>
        <w:rPr>
          <w:b/>
        </w:rPr>
        <w:t>E. 3.2.4</w:t>
      </w:r>
    </w:p>
    <w:p>
      <w:r>
        <w:t>Le Ministère public peut écarter une réquisition de preuves si celle-ci porte sur des faits non pertinents, notoires, connus de l'autorité pénale ou déjà suffisamment prouvés en droit (art. 318 al. 2 CPP). Ces motifs correspondent à ceux pour lesquels le ministère public peut, de manière générale, renoncer à administrer une preuve (art. 139 al. 2 CPP).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ou s’il parvient sans arbitraire à la constatation, sur la base des éléments déjà recueillis, que l’administration de la preuve sollicitée ne peut plus modifier sa conviction. Ce refus d’instruire ne viole le droit d’être entendu que si l’appréciation anticipée de la pertinence du moyen de preuve offert, à laquelle le juge a ainsi procédé, est entachée d’arbitraire (ATF 144 II 427 consid. 3.1.3 ; ATF 141 I 60 consid. 3.3 ; ATF 136 I 229 consid. 5.3 ; TF 6B_400/2020 du 20 janvier 2021 consid. 2.1). Selon l’art. 182 CPP, le Ministère public et les tribunaux ont recours à un ou plusieurs experts lorsqu’ils ne disposent pas des connaissances et des capacités nécessaires pour constater ou juger un état de fait. L’autorité pénale peut refuser la mise en œuvre d’une expertise, sans violer les droits de la défense, si celle-ci apparaît inutile. Selon la doctrine, est notamment inutile l’expertise qui porte sur un fait qui n’est pas important pour la solution du cas, lorsque les preuves résultent déjà d’éléments du dossier ou lorsque le temps écoulé depuis les faits rend l’expertise superflue (Vuille, Commentaire romand, Code de procédure pénale suisse 2e éd., Bâle 2019, nn. 26 et 27 ad art. 182 CPP). L’autorité pénale peut également refuser une expertise si elle estime que celle-ci ne pourrait pas l’amener à modifier son opinion. Dans ce cas, le refus d’ordonner une expertise ne viole le droit d’être entendu que si l’appréciation anticipée de la pertinence du moyen de preuve est arbitraire (Vuille, op. cit., n. 27 ad art. 182 CPP ; ATF 124 I 208, SJ 1999 I 89).</w:t>
      </w:r>
    </w:p>
    <w:p>
      <w:r>
        <w:t>- 24 -</w:t>
      </w:r>
    </w:p>
    <w:p>
      <w:r>
        <w:rPr>
          <w:b/>
        </w:rPr>
        <w:t>E. 3.3.1</w:t>
      </w:r>
    </w:p>
    <w:p>
      <w:r>
        <w:t>En l’espèce, X.D.________ est décédé le 24 septembre 2020 après avoir subi une intervention chirurgicale dispensée par le Dr P.________ à la L.________. Il était en bonne santé habituelle et ne présentait pas de comorbidités. Il souffrait toutefois d’une hernie crurale pour laquelle il avait décidé d’être opéré en ambulatoire, sous anesthésie générale. Ainsi, il avait été admis à 6h30 et avait été pris en charge au bloc opératoire dès 7h28. L’incision avait eu lieu à 8h06 et l’intervention avait pris fin à 9h30, de sorte que le patient était sorti du bloc opératoire à 9h50. Il n’avait eu aucune particularité durant l’opération qui s’était bien passée. X.D.________ avait ensuite été conduit en salle de réveil où il était resté jusqu’à 11h40 environ, avant d’être installé en chambre individuelle. Il était bien réveillé, décontracté et content de manger. Ses constantes étaient dans la norme. A 12h50, dans sa chambre, il avait bu, avait pu se lever et était allé uriné. Ensuite, à 13h15, il avait reçu à manger et avait été laissé tranquille en chambre. Lors de leur visite à 15h40, l’infirmière et l’aide-soignante avaient retrouvé X.D.________ dans son lit inanimé et avaient enclenché l’alarme de réanimation. Les médecins sur place avaient commencé le massage cardiaque tandis que l’équipe de réanimation avait pris le relais. Le décès a été constaté à 15h55.</w:t>
      </w:r>
    </w:p>
    <w:p>
      <w:r>
        <w:rPr>
          <w:b/>
        </w:rPr>
        <w:t>E. 3.3.2</w:t>
      </w:r>
    </w:p>
    <w:p>
      <w:r>
        <w:t>Compte tenu de ces circonstances, la question se pose d’un éventuel homicide par négligence au sens de l’art. 117 CP. Au titre des éléments constitutifs de cette infraction, il doit notamment exister un rapport de causalité naturelle et adéquate entre le comportement que l’on reproche à l’auteur et le décès de la victime. Les recourants se plaignent à ce titre d’une série de manquements du personnel soignant de la L.________, considérant en substance qu’il ne peut être exclu que si, au lieu d’un repas, une collation lui avait été servie, que si ledit repas lui avait été servi ultérieurement et que si une visite avait été faite avant la découverte du corps, soit dans un intervalle de 2 heures et 25 minutes, des soins auraient pu être prodigués immédiatement à X.D.________ et le décès évité. Autrement dit, ils ne leur reprochent pas un</w:t>
      </w:r>
    </w:p>
    <w:p>
      <w:r>
        <w:t>- 25 - comportement actif, mais bien un comportement passif, respectivement des omissions. Le lien de causalité entre l’(es) éventuelle(s) inaction(s) fautive(s) et le résultat dommageable s’analyse donc à la lumière de la causalité hypothétique, laquelle implique d’établir ce lien avec un degré de vraisemblance confinant à la certitude. A cet égard, force est de constater que malgré les analyses et examens fouillés des médecins légistes du CURML, on ignore de quoi est mort X.D.________. Dans leur rapport d’autopsie du 5 mai 2021, les médecins légistes sont arrivés à la conclusion que, sur la base de l’ensemble des éléments à leur disposition, « la cause du décès n’avait pas pu être établie », précisant qu’« en l’absence de lésions traumatiques majeures ou d’intoxication aux substances recherchées pouvant expliquer le décès, il pourrait s’agir d’un décès d’origine naturelle dans le cadre d’un trouble fonctionnel (comme une crise d’épilepsie ou un trouble du rythme cardiaque) », même s’ils n’en n’avaient pas décelé de traces lors de leurs examens. Les éléments à disposition des experts étaient très complets puisqu’ils ont eu connaissance du déroulement de l’opération et des suites de la prise en charge du patient avant son décès. En particulier, ils ont eu connaissance du fait que X.D.________ avait pu, après avoir été installé en chambre, boire, se lever et aller seul uriner, mais aussi et surtout qu’il avait pris une collation à 13h15. Or les médecins légistes n’ont pour autant pu faire aucun lien entre ces circonstances et le décès, aucune d’elles n’étant de nature à en établir la cause. D’ailleurs, il ressort des déclarations concordantes – non remises en cause par les recourants et dont il n’y aucune raison de s’écarter – des membres du personnel soignant auditionnés que l’opération et les suites opératoires ont été normales. Le Dr P.________ a notamment expliqué que X.D.________ n’avait aucune contre-indication à la chirurgie, qu’il n’y avait eu aucun problème, ni saignement ni difficulté technique durant l’opération, laquelle avait été très simple et de courte durée, et que le patient avait pu se nourrir, ce qui signifiait qu’il s’était déjà levé (PV aud. 4, lignes 40, 71-74, 118-119). L’infirmière F.________ a indiqué que le patient se portait bien, qu’il avait déclaré n’avoir pas de vertige, qu’il avait le pas assuré et qu’il s’était rendu aux toilettes pour uriner, en bref, qu’il n’y avait rien d’alarmant (PV</w:t>
      </w:r>
    </w:p>
    <w:p>
      <w:r>
        <w:t>- 26 - aud. 1, pages 3-4). Quant à l’aide soignante, elle a relaté que X.D.________ plaisantait et était décontracté, n’avait pas de douleurs et était très bien réveillé, avait hâte de manger et était en bonne forme ; il était tellement enjoué, se réjouissant de partir, et était content que son opération se soit bien déroulée (PV aud 2, pages 2-3). Il résulte de ce qui précède qu’il existe de sérieuses et irréductibles incertitudes, qu’aucune mesure d’instruction complémentaire pourra pallier (en tout cas pas celles requises par les recourants) quant à la raison du décès de X.D.________. Faute de savoir ce qui a entraîné la mort de celui-ci survenue le 24 septembre 2022, il n’est pas possible, quand bien même on retiendrait une quelconque violation d’une règle de l’art – ce qui est loin d’être acquis (cf. consid. 3.4 infra) – de considérer, avec une très grande vraisemblance, que si le personnel soignant de la L.________ avait agi différemment, cela aurait permis d'éviter l'issue fatale. Le lien de causalité entre de prétendues omissions et le décès ne peut par conséquent que faire défaut, dès lors qu’il n’est – faut-il le rappeler – en tout état de cause pas possible d’établir le rapport de causalité naturelle et a fortiori adéquate. Ce constat scelle le sort de l’action pénale tant il suffit à exclure toute perspective de condamnation.</w:t>
      </w:r>
    </w:p>
    <w:p>
      <w:r>
        <w:rPr>
          <w:b/>
        </w:rPr>
        <w:t>E. 3.3.3</w:t>
      </w:r>
    </w:p>
    <w:p>
      <w:r>
        <w:t>Par ailleurs, les mesures d’instructions demandées ne sont pas davantage utiles. Le fait déterminant dans la présente cause est le lien de causalité, pour les motifs indiqués ci-avant, de sorte que des auditions supplémentaires du personnel soignant, de même que celle de la mère de la victime, tout comme une expertise portant sur d’éventuelles violations des règles de l’art, ou encore la production d’un rapport de l’aide- soignante, ne pourraient pas être susceptibles de mener à une autre appréciation sur l’issue de cette affaire. Les recourants font valoir que leurs réquisitions peuvent permettre de démontrer une éventuelle violation des règles de l’art, considérant que le Ministère public aurait procédé à une interprétation « pour le moins simpliste et prématurée » du rapport du CURML, dans la mesure où l’évocation d’un décès d’origine naturelle est une simple</w:t>
      </w:r>
    </w:p>
    <w:p>
      <w:r>
        <w:t>- 27 - hypothèse et ne permet nullement d’écarter à ce stade déjà une violation du devoir de diligence. Selon eux, le rapport du CURML ne porterait en outre que sur des considérations médico-légales relatives aux causes du décès, s’apparentant donc à un constat. S’il est exact que ce rapport n’a pas pour vocation d’examiner l’éventuelle violation des règles de l’art médical, il y a lieu de considérer, d’une part, que cette question n’est en l’occurrence pas déterminante vu l’impossibilité d’établir un lien de causalité naturelle et a fortiori adéquate entre une éventuelle omission et le décès, en l’absence de cause du décès pouvant être établie. D’autre part, les recourants ne proposent pas de mesures d’instruction s’agissant de l’établissement du lien de causalité et on n’en décèle aucune qui serait pertinente, l’autopsie et les analyses toxicologiques réalisées par les médecins légistes du CURML ayant été faites de manière détaillée, fouillée et complète (P. 17), ce que les recourants ont du reste admis. En réalité, ils tentent de mettre en évidence toute une série d’incohérences dans la prise en charge de leur fils (repas copieux, repas servi trop tôt, absence de surveillance durant un laps de temps trop long, etc.) en formulant la probabilité que le décès aurait pu être évité. Pour autant, les recourants n’expliquent pas en quoi ces manquements seraient, respectivement pourraient être, en rapport de causalité naturelle et adéquate avec le décès inexpliqué. Peu importe en définitive de savoir s’il y a – ou non – eu une quelconque violation des règles de l’art puisque, dans les conditions susmentionnées, il ne sera pas possible d’établir avec un degré de vraisemblance confinant à la certitude que X.D.________ aurait pu être sauvé si les choses s’étaient déroulées différemment, notamment si on lui avait servi une vraie collation plutôt qu’un repas ou si le personnel infirmier était passé plus tôt dans la chambre. Ayant seulement trait – au mieux – à l’existence d’une éventuelle omission fautive, les mesures d’instruction sollicitées par les recourants sont donc sans pertinence concernant la question du lien de causalité. C’est donc à raison que le Ministère public central les a rejetées.</w:t>
      </w:r>
    </w:p>
    <w:p>
      <w:r>
        <w:t>- 28 -</w:t>
      </w:r>
    </w:p>
    <w:p>
      <w:r>
        <w:rPr>
          <w:b/>
        </w:rPr>
        <w:t>E. 3.4</w:t>
      </w:r>
    </w:p>
    <w:p>
      <w:r>
        <w:t>A l’appui de leur écriture, les recourants exposent qu’il y a certaines zones d’ombre nécessitant la reprise d’une instruction. Toutefois, ils n’argumentent pas en quoi, si ces zones d’ombres étaient éclaircies, d’éventuelles carences dans la prise en charge du patient pourraient avoir une incidence sur le décès au vu de ce qui précède, respectivement ne démontrent pas l’éventuelle commission d’un homicide par négligence par le personnel soignant de L.________ eu égard aux doutes irrémédiables qui existent concernant la cause de la mort de X.D.________ (cf. consid. 3.3 supra). Cela étant, par surabondance, on peut répondre comme suit à ces critiques.</w:t>
      </w:r>
    </w:p>
    <w:p>
      <w:r>
        <w:rPr>
          <w:b/>
        </w:rPr>
        <w:t>E. 3.4.1</w:t>
      </w:r>
    </w:p>
    <w:p>
      <w:r>
        <w:t>Les recourants estiment qu’au vu du nombre de substances mentionnées pour une seule anesthésie générale, la question du choix du type d’anesthésie, de la méthode et de ses répercussions sur l’état post- opératoire du patient au regard des règles de l’art peut se poser. Or il n’y a rien au dossier qui permette de retenir que l’anesthésie serait problématique. Premièrement, le patient s’était réveillé de la narcose générale et avait pu être ramené en chambre. F.________ a en particulier indiqué que sa collègue et elle avaient été appelées pour venir récupérer le patient et l’amener dans sa chambre (PV aud. 1, page 3). Selon V.________, à leur arrivée en salle de réveil, X.D.________ n’était plus « scopé » et n’avait plus le brassard pour la tension, signifiant qu’il pouvait changer d’emplacement ; il leur avait déclaré qu’il allait très bien et qu’il avait hâte de manger, tout en plaisantant et en étant décontracté (PV aud. 2, page 2). En chambre, il avait pu boire, se lever et marcher seul jusqu’aux toilettes (PV aud. 1, pages 3-4, et PV aud. 2, page 3). Ses constantes étaient bonnes (P. 14). A cet égard, les recourants ne remettent pas en cause les déclarations du personnel soignant, lesquelles sont crédibles et concordantes. Deuxièmement, les experts ont procédé à des analyses toxicologiques détaillées, sans relever d’éléments particuliers à ce sujet, indiquant que les dosages des différentes substances étaient soit dans la norme soit en dessous de la fourchette des</w:t>
      </w:r>
    </w:p>
    <w:p>
      <w:r>
        <w:t>- 29 - valeurs observées durant des interventions chirurgicales. Troisièmement, les médecins légistes ont été mandatés pour se prononcer sur la cause du décès ; s’il y avait le moindre élément lié aux substances administrées au patient, ils n’auraient assurément pas manqué de le souligner. Dès lors, une expertise médico légale apparaît superflue.</w:t>
      </w:r>
    </w:p>
    <w:p>
      <w:r>
        <w:rPr>
          <w:b/>
        </w:rPr>
        <w:t>E. 3.4.2</w:t>
      </w:r>
    </w:p>
    <w:p>
      <w:r>
        <w:t>Les recourants s’en prennent au suivi opératoire, invoquant le fait, d’une part, qu’il ne ressort ni de la feuille d’anesthésie, ni clairement de la feuille de surveillance post-opératoire à quel moment le patient avait été extubé et, d’autre part, qu’on ignore si le médecin-anesthésiste avait lui-même évalué le patient avant le transfert à l’étage et, le cas échéant, autorisé l’infirmière de salle de réveil de procéder à son transfert ou si elle avait pris seule cette initiative. Il ressort du dossier médical que l’opération a fini à 9h30 et que X.D.________ a quitté le bloc opératoire à 9h50 et s’est trouvé en salle de réveil jusqu’à 11h40 environ, moment où l’infirmière et l’aide soignante ont été appelées pour venir le récupérer. D’après les déclarations de celles-ci, non critiquées par les recourants, elles ont été avisées et sont venues chercher le patient vers 12h00-12h30 en salle de réveil, ayant reçu le feu vert (cf. PV aud. 1 et 2). Le Dr P.________ a pour sa part expliqué qu’après l’opération, les patients étaient conduits en salle de réveil, y restant en général entre 2 et 3 heures, avant d’être placés en chambre s’ils allaient bien, ajoutant que l’anesthésiste se chargeait des ordres post-opératoires (cf. PV aud. 4, lignes 76-81). Eu égard à ces circonstances qui n’ont rien d’interpellant, un complément d’instruction s’avère inutile, respectivement ne porterait pas sur un fait pertinent.</w:t>
      </w:r>
    </w:p>
    <w:p>
      <w:r>
        <w:rPr>
          <w:b/>
        </w:rPr>
        <w:t>E. 3.4.3</w:t>
      </w:r>
    </w:p>
    <w:p>
      <w:r>
        <w:t>Les recourants soutiennent qu’au niveau chronologique, il est pour le moins étonnant que figure un « trou béant » de 75 minutes empêchant de répartir le temps entre la salle de réveil et le retour en chambre à l’étage.</w:t>
      </w:r>
    </w:p>
    <w:p>
      <w:r>
        <w:t>- 30 - Dans le prolongement des considérations qui précèdent, il y a lieu de considérer que cet élément est sans portée dès lors qu’il est établi et non contesté que le patient allait bien lorsqu’il est sorti de la salle de réveil et qu’il a été accompagné dans sa chambre. Une fois à l’étage, il a pu boire, se lever, marcher et uriner, déclarant en outre se sentir bien.</w:t>
      </w:r>
    </w:p>
    <w:p>
      <w:r>
        <w:rPr>
          <w:b/>
        </w:rPr>
        <w:t>E. 3.4.4</w:t>
      </w:r>
    </w:p>
    <w:p>
      <w:r>
        <w:t>Les recourants considèrent que l’absence de surveillance post- opératoire interpelle alors que le patient a subi une opération sous anesthésie générale et qu’aucune surveillance ou visite n’a été faite depuis le service d’un plateau repas jusqu’à la découverte du patient, soit pendant près de 2 heures et 25 minutes. Ils tiennent également pour surprenant qu’ensuite d’une intervention avec narcose générale, un repas entier soit servi à 13h15, précisant qu’il est uniquement fait mention d’une « collation » par l’infirmière. Selon eux, la présence de restes alimentaires dans son arbre trachéo-bronchique ainsi que la congestion pulmonaire identifiée lors de l’autopsie peuvent être fortement indicatives d’une régurgitation gastrique avec broncho-aspiration consécutive, entrainant ainsi une quinte incessante de toux pouvant conduire à l’arrêt cardiaque dû à l’hypoxie grave. Il faut rappeler tout d’abord que l’opération chirurgicale s’est bien passée et que le patient se sentait bien, ce que les recourants ne contestent pas. X.D.________ s’est vu servir un potage, accompagné d’une tranche de poulet, d’une salade de crudités et d’une compote de fruits. Ensuite, le patient n’était pas sans surveillance puisqu’une visite était prévue par les infirmières dans l’après-midi et une autre par le chirurgien avant la décharge. Par ailleurs, la sonnette d’alarme avait été placée sur le plateau repas, à portée de main du patient, et il lui avait été expliqué qu’il ne devait pas hésiter à solliciter l’équipe médicale, en cas de besoin. Selon V.________, X.D.________ avait du reste été visité en dernier car il était le patient présentant le meilleur état sur l’étage (PV aud. 2, page 6). Ainsi, on ne saurait considérer que la prise en charge post- opératoire a pu poser problème.</w:t>
      </w:r>
    </w:p>
    <w:p>
      <w:r>
        <w:t>- 31 -</w:t>
      </w:r>
    </w:p>
    <w:p>
      <w:r>
        <w:rPr>
          <w:b/>
        </w:rPr>
        <w:t>E. 3.4.5</w:t>
      </w:r>
    </w:p>
    <w:p>
      <w:r>
        <w:t>Les recourants relèvent qu’il aurait fallu procéder à une vérification du bon fonctionnement ou de l’accessibilité de la sonnette d’alarme ou encore si le patient avait pu l’utiliser. Rien au dossier ne permet de supposer et les recourants n’apportent aucun élément tangible dans ce sens, ni ne soutiennent que la sonnette aurait été défaillante. Il ne se justifie aucunement de procéder à des vérifications superflues, qui n’apporteraient au demeurant rien à la question de la causalité.</w:t>
      </w:r>
    </w:p>
    <w:p>
      <w:r>
        <w:rPr>
          <w:b/>
        </w:rPr>
        <w:t>E. 3.4.6</w:t>
      </w:r>
    </w:p>
    <w:p>
      <w:r>
        <w:t>Enfin, pour les mêmes raisons, il n’est pas davantage nécessaire d’instruire la question de l’absence au dossier médical du formulaire de consentement concernant l’intervention chirurgicale. Les recourants invoquent en substance le fait que les médecins – chirurgien et anesthésiste – ont violé leur devoir d’information à l’égard de leur fils sur les risques de l’intervention chirurgicale en tant que telle et ceux liés à l’anesthésie. Se référant à la correspondance du 18 août 2020 du Dr P.________ mentionnant que « d’un point de vue assécurologique, en l’absence d’assurance complémentaire et bien que cela ne soit pas idéal, l’intervention s’effectuera de manière ambulatoire », ils considèrent en particulier que cette formulation permet de se poser la question sur l’indication opératoire dans de telles circonstances, de même que de savoir si le patient avait bien été informé de cet élément ainsi que des alternatives à cette intervention. Ils relèvent en outre que l’entretien effectué quelques minutes avant le transfert en salle d’opération ne contient aucune mention quant à une information par le médecin anesthésiste des risques de l’anesthésie. Or les recourants n’explicitent pas en quoi la survenance d’une violation du droit d’information pourrait conduire à retenir que les médecins se seraient rendus coupables d’homicide par négligence. Ils n’argumentent en particulier pas, ni ne démontrent que, sans cette éventuelle omission, leur fils ne serait pas décédé. En effet, X.D.________ n’est apparemment pas mort en raison d’une complication due à</w:t>
      </w:r>
    </w:p>
    <w:p>
      <w:r>
        <w:t>- 32 - l’opération ou d’un risque attaché à celle-ci – étant rappelé que selon le chirurgien, il s’agissait de rares risques hémorragique ou infectieux –, du moins cela ne pourrait pas être établi vu l’incertitude irrémédiable sur la cause du décès. Il s’ensuit que le même raisonnement peut être fait au sujet du rapport de causalité que celui lié à de prétendues omissions contraires au devoir de diligence : ainsi, même si le patient avait été informé des risques correctement (et cela a été le cas), un éventuel lien de causalité naturelle et adéquate entre l’omission invoquée et le décès ne pourrait jamais être retenu. Par ailleurs, si l’instruction concerne le décès de X.D.________, certes dans un contexte faisant suite à une intervention chirurgicale, force est de constater qu’aucune violation du devoir d’information n’est objectivée, ni rendue plausible. Et pour cause puisqu’il ne fait pas de doute que le patient avait consenti, en toute connaissance de cause, à l’opération impliquant une anesthésie générale. Il est vrai que le formulaire de consentement relatif à l’intervention elle-même ne figure pas au dossier, à l’inverse du questionnaire d’anesthésie. Il n’y a quoi qu’il en soit pas d’indice dans le sens d’une absence de consentement et d’information du patient. Au contraire, il ressort de la lettre du 18 août 2020 du Dr P.________ que l’intervention a été explicitée en détail à X.D.________, que le filet lui a été présenté et que les rares complications ont été discutées, de sorte que l’opération a été fixée d’un « commun accord » le 24 septembre 2020 (P. 14). En outre, le jour de l’intervention, le chirurgien a réexpliqué les tenants et aboutissants au patient lors d’un entretien d’une durée de 10 à 15 minutes ; le Dr P.________ a déclaré à ce propos qu’en général, il passait après l’anesthésiste pour s’assurer que le patient avait été vu par celui-ci et qu’il avait bien compris l’anesthésie avant d’être amené au bloc opératoire (PV aud. 4, lignes 61-63). Il ressort également du dossier que X.D.________ a signé le formulaire d’admission à l’hôpital ainsi que le formulaire d’anesthésie, ce qui signifie qu’il était prêt pour l’intervention et bien avisé. En d’autres termes, il s’avère que X.D.________ était pleinement informé de ce que l’intervention et l’anesthésie pouvaient impliquer, ayant non seulement connaissance des risques et des bénéfices, mais surtout les ayant acceptés. Les recourants</w:t>
      </w:r>
    </w:p>
    <w:p>
      <w:r>
        <w:t>- 33 - ne prétendent au demeurant pas que leur fils aurait refusé le traitement proposé et ne donnent en outre aucun élément concret permettant de suspecter que ce dernier n’aurait pas été lucide. Or, sur la base du dossier médical et des déclarations concordantes du personnel de L.________ – que les recourants ne critiquent pas en se limitant à soutenir que seulement quatre personnes avaient été entendues sur tout le personnel soignant –, il n’y a rien qui laisse penser que X.D.________ n’aurait pas eu la capacité discernement le jour de l’intervention. Enfin, il est encore établi que le chirurgien a exclu un traitement alternatif dans le cas de X.D.________, indiquant que de toute sa carrière, il avait vu un ou deux patients, très âgés et inopérables, qui portaient des orthèses pour éviter que l’hernie ne sorte, mais a confirmé que l’opération subie par ce dernier était une opération indiquée (PV aud. 4, pages 109-112). Au vu de ces considérations, il convient de retenir que les faits se rapportant au consentement et à la volonté du patient sont clairs et ne commandent pas d’instruction complémentaire.</w:t>
      </w:r>
    </w:p>
    <w:p>
      <w:r>
        <w:rPr>
          <w:b/>
        </w:rPr>
        <w:t>E. 3.5</w:t>
      </w:r>
    </w:p>
    <w:p>
      <w:r>
        <w:t>En définitive, force est de considérer que l’infraction d’homicide par négligence de l’art. 117 CP n’a pas pu être commise, respectivement qu’il n’y a pas de soupçon justifiant une mise en accusation. Toutes les preuves pertinentes ont été administrées et les réquisitions sollicitées ne sont pas de nature à modifier l’issue de la présente procédure, les conditions posées par l’art. 182 CPP n’étant pas remplies. C’est donc à juste titre que le Ministère public central a rendu une ordonnance de classement et rejeté les mesures d’instructions requises. 4. Il résulte de ce qui précède que le recours doit être rejeté et l’ordonnance entreprise confirmée. Les frais de la procédure de recours, constitués en l’espèce de l’émolument d’arrêt (art. 422 al. 1 CPP), par 3'300 fr. (art. 20 al. 1 TFIP</w:t>
      </w:r>
    </w:p>
    <w:p>
      <w:r>
        <w:t>- 34 - [Tarif des frais de procédure et indemnités en matière pénale du 28 septembre 2010 ; BLV 312.03.1]), seront mis à la charge des recourants, qui succombent (art. 428 al. 1 CPP), solidairement entre eux. Les recourants n’ayant pas obtenu gain de cause, il n’y a pas lieu de leur allouer une indemnité pour les dépenses occasionnées par l’exercice raisonnable de leurs droits de procédure. Par ces motifs, la Chambre des recours pénale prononce : I. Le recours est rejeté. II. L’ordonnance du 14 décembre 2021 est confirmée. III. Les frais d’arrêt, par 3'300 fr. (trois mille trois cents francs), sont mis à la charge des recourants B.D.________ et C.D.________, solidairement entre eux. IV. L’arrêt est exécutoire. La présidente : La greffière : Du Le présent arrêt, dont la rédaction a été approuvée à huis clos, est notifié, par l'envoi d'une copie complète, à : - Me Coralie Devaud, avocate (pour B.D.________ et C.D.________), - Ministère public central,</w:t>
      </w:r>
    </w:p>
    <w:p>
      <w:r>
        <w:t>- 35 - et communiqué à : - Mme la Procureure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r>
        <w:rPr>
          <w:b/>
        </w:rPr>
        <w:t>E. 7</w:t>
      </w:r>
    </w:p>
    <w:p>
      <w:r>
        <w:t>consid. 3.3, JdT 2004 I 497).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