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PE20.016294 vom 25. November 2020</w:t>
      </w:r>
    </w:p>
    <w:p>
      <w:r>
        <w:t>VD Tribunal cantonal, 2020-11-25, FR</w:t>
      </w:r>
    </w:p>
    <w:p>
      <w:r>
        <w:rPr>
          <w:b/>
        </w:rPr>
        <w:t xml:space="preserve">Quelle: </w:t>
      </w:r>
      <w:r>
        <w:t>https://mcp.opencaselaw.ch/entscheid/vd_gerichte_PE20.016294</w:t>
      </w:r>
    </w:p>
    <w:p>
      <w:r>
        <w:t>FR: VD_GERICHTE PE20.016294 du 25 novembre 2020</w:t>
      </w:r>
    </w:p>
    <w:p>
      <w:r>
        <w:t>IT: VD_GERICHTE PE20.016294 del 25 novembre 2020</w:t>
      </w:r>
    </w:p>
    <w:p>
      <w:pPr>
        <w:pStyle w:val="Heading2"/>
      </w:pPr>
      <w:r>
        <w:t>Volltext</w:t>
      </w:r>
    </w:p>
    <w:p>
      <w:r>
        <w:t>TRIBUNAL CANTONAL 941 PE20.016294-JMU CHAMBRE DE S RECO URS PEN ALE __________________________________________ Arrêt du 25 novembre 2020 __________________________ Composition : M. PERROT, président M. Krieger et Mme Byrde, juges Greffière : Mme Pitteloud ***** Art. 310 al. 1 let. a et 385 al. 2 CPP Statuant sur le recours daté du 16 octobre 2020 et déposé le 15 octobre 2020 par L.________ contre l’ordonnance de non-entrée en matière rendue le 6 octobre 2020 par le Ministère public de l’arrondissement de Lausanne dans la cause n° PE20.016294-JMU, la Chambre des recours pénale considère : En fait : A. Le 23 septembre 2020, L.________ a déposé plainte contre la Direction générale de l'enfance et de la jeunesse (DGEJ, jusqu’au 1er septembre 2020 le Service de protection de la jeunesse [SPJ]) et le Service 351</w:t>
      </w:r>
    </w:p>
    <w:p>
      <w:r>
        <w:t>- 2 - des curatelles et tutelles professionnelles (SCTP), au motif que ces institutions n’auraient pas fourni à l’Office d’impôt, lorsqu’il avait encore l’autorité parentale sur sa fille, d’attestation de placement indiquant les coûts pour la garderie et le foyer. B. Par ordonnance du 6 octobre 2020, le Ministère public de l’arrondissement de Lausanne a refusé d’entrer en matière (I) et a laissé les frais à la charge de l’Etat (II). Le procureur a considéré que les faits présentés par L.________, pour autant qu’on puisse les comprendre, ne présentaient aucun caractère pénal. C. Le 16 octobre 2020, L.________ a adressé à la Chambre des recours pénale du Tribunal cantonal un acte au contenu en partie similaire à celui de sa plainte pénale, en concluant, implicitement, à l’annulation de l’ordonnance du 6 octobre 2020 et à ce qu’une instruction pénale soit ouverte. Par avis du 21 octobre 2020, L.________ a été invité, dans un délai au 6 novembre 2020, à confirmer son intention de recourir et, le cas échéant, à motiver son recours et à verser des sûretés de 550 francs. Le 5 novembre 2020, L.________ a adressé à la Chambre des recours pénale un courrier daté du 27 août 2020, dans lequel il a déclaré ne pas être en mesure de verser les sûretés demandées et a requis le bénéfice de l’assistance judiciaire. Il a déclaré déposer plainte pénale contre l’Etat de Vaud, soit contre la DGEJ et le SCTP, pour gestion déloyale et fraude fiscale. En d roit :</w:t>
      </w:r>
    </w:p>
    <w:p>
      <w:r>
        <w:t>- 3 - 1. 1.1 Conformément à l'art. 310 al. 1 let. a CPP (Code de procédure pénale suisse du 5 octobre 2007 ; RS 312.0), le Ministère public rend immédiatement – c'est-à-dire sans qu'une instruction soit ouverte (art. 309 al. 1 et 4 CPP ; TF 1B_111/2012 du 5 avril 2012 consid. 2.1 ; Grodecki/Cornu, in : Jeanneret/ Kuhn/Perrier Depeursinge [édit.], Commentaire romand, Code de procédure pénale suisse, 2e éd., Bâle 2019, n. 2 ad art. 310 CPP) – une ordonnance de non-entrée en matière lorsqu'il apparaît, à réception de la dénonciation (cf. art. 301 s.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6B_196/2020 du 14 octobre 2020 consid. 3.1).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6B_510/2020 du 15 septembre 2020 consid. 2.2 ; TF 1B_472/2019 du 29 octobre 2019 consid. 3.1 ; TF 6B_120/2016 du 20 juin 2016 consid. 3.1). Selon l'art. 385 al. 2 CPP, si le mémoire ne satisfait pas à ces exigences, l'autorité de recours le renvoie au recourant afin que ce dernier le complète dans un bref délai. Si, après l'expiration de ce délai</w:t>
      </w:r>
    </w:p>
    <w:p>
      <w:r>
        <w:t>- 4 -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6B_510/2020, déjà cité, consid. 2.2 ; TF 1B_232/2017 du 19 juillet 2017 consid. 2.4.3 ; TF 1B_113/2017 du 19 juin 2017 consid. 2.4.3). 1.3 1.3.1 En l’espèce, le recours a été déposé en temps utile, de sorte qu’il est recevable à cet égard. Il n’est toutefois pas motivé à satisfaction de droit, dans la mesure où, bien qu’invité à motiver son acte, le recourant a adressé à la Chambre de céans une écriture datée du 27 août 2020 dans laquelle il se limite à faire valoir, de manière peu compréhensible, que ses décisions de taxations fiscales auraient été incorrectement établies. 1.3.2 Quoi qu’il en soit, le recours est mal fondé, dans la mesure où le recourant répète qu’il souhaite déposer plainte contre l’Etat de Vaud, « notamment » la DGEJ et le SCTP, pour « gestion déloyale » en relation avec le placement de sa fille et pour « fraude fiscale » en lien avec des déclarations d’impôt. Il n’indique pas le début d’une preuve, ni ne donne le moindre détail qui étayerait la commission d’une quelconque infraction de la part de ces autorités. Il ne produit pas même les décisions de taxation fiscale dont il conteste le contenu. On ne saurait dès lors reprocher au Ministère public d’avoir considéré qu’il n’existait pas de soupçons de la commission d’une ou de plusieurs infractions pénales en lien avec les faits dénoncés par le recourant.</w:t>
      </w:r>
    </w:p>
    <w:p>
      <w:r>
        <w:t>- 5 - 2. Au vu de ce qui précède, le recours, manifestement mal fondé, doit être rejeté, dans la mesure de sa recevabilité, sans échange d’écritures (art. 390 al. 2 CPP) et l’ordonnance entreprise doit être confirmée. La requête d’assistance judiciaire doit être rejetée, le recours étant manifestement dénué de chances de succès (CREP 18 mai 2020/362 consid. 5). Les frais de la procédure de recours, constitués de l’émolument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6 octobre 2020 est confirmée. III. Les frais d’arrêt, par 550 (cinq cent cinquante francs), sont mis à la charge du recourant L.________. IV. L’arrêt est exécutoire. Le président : La greffière : Du Le présent arrêt, dont la rédaction a été approuvée à huis clos, est notifié, par l'envoi d'une copie complète, à : - L.________,</w:t>
      </w:r>
    </w:p>
    <w:p>
      <w:r>
        <w:t>- 6 -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