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PE20.016102 vom 6. Februar 2023</w:t>
      </w:r>
    </w:p>
    <w:p>
      <w:r>
        <w:t>VD Tribunal cantonal, 2023-02-06, FR</w:t>
      </w:r>
    </w:p>
    <w:p>
      <w:r>
        <w:rPr>
          <w:b/>
        </w:rPr>
        <w:t xml:space="preserve">Quelle: </w:t>
      </w:r>
      <w:r>
        <w:t>https://mcp.opencaselaw.ch/entscheid/vd_gerichte_PE20.016102</w:t>
      </w:r>
    </w:p>
    <w:p>
      <w:r>
        <w:t>FR: VD_GERICHTE PE20.016102 du 6 février 2023</w:t>
      </w:r>
    </w:p>
    <w:p>
      <w:r>
        <w:t>IT: VD_GERICHTE PE20.016102 del 6 febbraio 2023</w:t>
      </w:r>
    </w:p>
    <w:p>
      <w:pPr>
        <w:pStyle w:val="Heading2"/>
      </w:pPr>
      <w:r>
        <w:t>Erwägungen</w:t>
      </w:r>
    </w:p>
    <w:p>
      <w:r>
        <w:rPr>
          <w:b/>
        </w:rPr>
        <w:t>E. 1</w:t>
      </w:r>
    </w:p>
    <w:p>
      <w:r>
        <w:t>Z.________ est né le [...] 1960 à Lausanne ; il est originaire de [...]. Il vit séparé de son épouse avec laquelle il a eu deux enfants, aujourd’hui majeurs. Depuis 2010, le prévenu a travaillé en qualité de chauffeur professionnel. Au moment des faits qui lui sont reprochés, il était employé par la société « [...] SA » (ci-après [...]). Après l’accident, le prévenu s’est trouvé en incapacité de travail de manière ininterrompue jusqu’à aujourd’hui. Son contrat de travail a été résilié par [...] pour le 28 février 2023. Z.________ perçoit des indemnités de la part de la SUVA à hauteur de 5'800 fr. net par mois. Son loyer se monte à 1'400 fr. et ses primes d’assurance-maladie à 400 fr. par mois. Il paie 450 fr. par mois d’impôts. Il a quelques économies et n’a pas de dettes. Son casier judiciaire suisse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L’appelant invoque d’abord une constatation erronée des faits. Il soutient que c’est à tort que les premiers juges ont retenu que l’entier de la route en provenance de [...] était parfaitement visible depuis la ligne du « Stop », malgré la haie qui longeait la route au moment des faits. Il relève à cet égard qu’à la suite du décès de C.T.________, la Direction générale de la mobilité et des routes (ci-après : DGMR) a non seulement pris la décision d’abaisser la limitation de vitesse de 80 km/h à 60 km/h sur ce tronçon, mais qu’elle a également ordonné à la Commune de [...] de tailler les haies aux carrefours afin d’assurer la visibilité et de réduire les risques d’accident. L’appelant estime que la route en provenance de [...] était peu visible en raison de la haie qui la longeait, et en particulier avec un bus comme celui qu’il conduisait et qu’il n’avait eu d’autre choix que de franchir la ligne du « Stop » pour être en mesure d’apercevoir les véhicules venant de la route de [...].</w:t>
      </w:r>
    </w:p>
    <w:p>
      <w:r>
        <w:rPr>
          <w:b/>
        </w:rPr>
        <w:t>E. 3.2</w:t>
      </w:r>
    </w:p>
    <w:p>
      <w:r>
        <w:t>La constatation des faits est incomplète au sens de l’art. 398 al. 3 let. b CPP lorsque toutes les circonstances de fait et tous les moyens</w:t>
      </w:r>
    </w:p>
    <w:p>
      <w:r>
        <w:t>- 11 -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3.3</w:t>
      </w:r>
    </w:p>
    <w:p>
      <w:r>
        <w:t>En l’espèce, le fait que des mesures aient été prises à la suite d’un accident mortel pour renforcer la sécurité d’un carrefour ne signifie pas encore que la route en provenance de [...] ne fût pas visible, ou peu, depuis la ligne du « Stop ». Le rôle de la DGMR est de renforcer au maximum la sécurité et, quand cela est possible, rapidement et à moindre frais ; il paraît donc normal que des mesures aient été rapidement</w:t>
      </w:r>
    </w:p>
    <w:p>
      <w:r>
        <w:t>- 13 - ordonnées après un tel drame et lorsqu’un carrefour est connu pour être accidentogène. Cela étant, les modifications ont été opérées à la demande de la Commune de [...] (P. 42) – qui n’en a donc pas « reçu l’ordre », comme le soutient l’appelant –, ainsi que du Touring club suisse (ci-après : TCS), qui relève les « nombreuses situations dangereuses constatées » et l’accident mortel litigieux. Il ressort par ailleurs du dossier de la procédure administrative relatif à la modification de la signalisation que ce n’est pas tant la visibilité qui était remise en question que la vitesse excessive possible sur le tronçon, limité alors à 80 km/h. Evidemment, l’élagage de la haie effectué depuis lors est également de nature à améliorer la visibilité et partant la sécurité. Quoiqu’il en soit, la consultation du cahier photos (P. 25) prises au moment de l’accident permet de constater que la haie ne posait alors pas de problème particulier de visibilité quand on se situe sur la ligne du « Stop ». On ne saurait donc retenir, comme le voudrait l’appelant, que « la visibilité était particulièrement mauvaise ». Au demeurant, lors de sa première audition (PV d’audition 1), Z.________ n’a pas évoqué que la haie posait un problème particulier de visibilité. On relèvera également que le motocycliste circulait avec le phare allumé (pièce à conviction 33077), ce qui augmentait sa visibilité. Les premiers juges pouvaient ainsi valablement retenir que la route en provenance de Cossonay était parfaitement visible depuis la ligne du « Stop », malgré la haie qui longeait la route au moment des faits. 4. 4.1 Invoquant la présomption d’innocence et le principe in dubio pro reo, l’appelant relève que la vitesse à laquelle roulait C.T.________, de même que le moment où ce dernier aurait pu apercevoir le bus conduit par l’appelant n’ont pas été déterminés par le Centre universitaire romand de médecine légale (ci-après : CURML). Il considère, en se fondant sur la distance estimée de C.T.________ et sur son temps de réaction, que le</w:t>
      </w:r>
    </w:p>
    <w:p>
      <w:r>
        <w:t>- 14 - susnommé disposait d’une distance suffisante pour freiner et éviter l’obstacle constitué par le bus conduit par l’appelant, et ceci même s’il roulait au maximum de la vitesse autorisée à l’époque sur ce tronçon, soit 80 km/h. L’appelant relève également que la réactivité de la victime était diminuée compte tenu de la présence de THC dans son sang. Sur la base de ces considérations, l’appelant considère que le comportement du motocycliste ne représentait pas une simple inattention mineure, mais apparaissait comme un manque de prudence qualifié, qui n’était absolument pas prévisible et reléguait au second plan son propre comportement fautif. Il plaide donc la rupture du lien de causalité adéquate, sur la base du caractère inhabituel et fautif du comportement de la victime. 4.2 L'art. 117 CP (Code pénal suisse du 21 décembre 1937 ; RS 311.0) réprime le comportement de celui qui, par négligence, aura causé la mort d'une personne. La réalisation de l’infraction d’homicide par négligence suppose la réunion de trois conditions : le décès d'une personne, une négligence et un lien de causalité naturelle et adéquate entre la négligence et la mort. Si l'une de ces trois conditions fait défaut, le délit n'est pas réalisé (ATF 122 IV 145 consid. 3 ; TF 6B_1098/2017 du 5 avril 2018 consid. 4.2 ; TF 6B_275/2015 du 22 juin 2016 consid. 3). 4.2.1 4.2.1.1 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w:t>
      </w:r>
    </w:p>
    <w:p>
      <w:r>
        <w:t>- 15 - imposaient pour ne pas excéder les limites du risque admissible et que, d'autre part, il n'ait pas déployé l'attention et les efforts que l'on pouvait attendre de lui pour se conformer à son devoir (ATF 134 IV 255 consid. 4.2.3 ; ATF 133 IV 158 consid. 5.1).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143 IV 138 consid. 2.1, JdT 2018 IV 31 ; ATF 136 IV 76 consid. 2.3.1, SJ 2011 I p. 86 ; ATF 135 IV 56 consid. 2.1, JdT 2010 IV 43 ; ATF 133 IV 158 consid. 5.1). Pour déterminer plus précisément les devoirs imposés par la prudence, on peut se référer à des normes édictées par l'ordre juridique pour assurer la sécurité et éviter des accidents (ATF 143 IV 138 consid. 2.1). 4.2.1.2 En vertu du principe de la confiance, déduit de l'art. 26 al. 1 LCR (Loi fédérale sur la circulation routière du 19 décembre 1958 ; RS 741.01), l'usager, qui se comporte réglementairement, peut attendre des autres usagers, aussi longtemps que des circonstances particulières ne doivent pas l'en dissuader, qu'ils se comportent également de manière conforme aux règles de la circulation, c'est-à-dire ne le gênent pas ni ne le mettent en danger (ATF 143 IV 500 consid. 1.2.4 ; ATF 143 IV 138 consid. 2.2.2 ; TF 6B_1177/2017 du 16 avril 2018 consid. 2.7.1).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 TF 6B_1177/2017 du 16 avril 2018 consid. 2.7.1).</w:t>
      </w:r>
    </w:p>
    <w:p>
      <w:r>
        <w:t>- 16 -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En l’occurrence, en application de l’art. 36 al. 1 1ère phrase OSR, le signal « Stop » (3.01) oblige le conducteur à s’arrêter et à accorder la priorité aux véhicules circulant sur la route dont il s’approche. En application de l’art 14 al. 1 1ère phrase OCR,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p. 147 ; TF 1C_491/2022 du 17 février 2022 consid. 2.1). L’art. 3 al. 1 1ère phrase OCR dispose en outre que le conducteur vouera son attention à la route et à la circulation. 4.2.2 Un fait est la cause naturelle d'un résultat dommageable s'il en constitue une des conditions sine qua non ; il n'est pas nécessaire que l'événement considéré soit la cause unique ou immédiate du résultat (ATF 139 V 176 consid. 8.4.1 et 8.4.3). Le constat d'un lien de causalité naturelle relève du fait.</w:t>
      </w:r>
    </w:p>
    <w:p>
      <w:r>
        <w:t>- 17 -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(ATF 119 Ib 334 consid. 5b).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TF 6B_568/2021 du 11 mars 2022 consid. 3.1 ; ATF 130 III 182 consid. 5.4 ; ATF 127 III 453 consid. 5d ; ATF 122 IV 17 consid. 2c/bb). Le constat du lien de causalité adéquate relève du droit (ATF 142 IV 237 consid. 1.5.1 ; ATF 138 IV 57 consid. 4.1.3 ; TF 6B_1333/2022 du 2 octobre 2023 consid. 2.2.4). 4.3 En l’espèce, il est établi par les relevés du tachygraphe (P. 24/6) que l’appelant ne s’est pas arrêté au signal « Stop ». Le visionnage des images de vidéosurveillance du bus conduit au même constat, à savoir que l’appelant s’engage sans marquer de stop. Dans la mesure où celui-ci savait que ce carrefour était dangereux, il aurait dû être d’autant plus prudent. L’endroit est par ailleurs notoirement fréquenté par de nombreux apprentis conducteurs compte tenu de la proximité du centre TCS. On relèvera également que la localisation du point d’impact sur le bus, derrière la roue avant gauche, contredit la version de l’appelant, selon laquelle il n’aurait pas pu voir C.T.________ car celui-ci roulait sur l’extrême droite de sa voie de circulation et était ainsi caché par la haie qui était située au bord de la route.</w:t>
      </w:r>
    </w:p>
    <w:p>
      <w:r>
        <w:t>- 18 - En ne vouant pas toute son attention à la route et à la circulation et en ne s’arrêtant pas au signal « Stop » comme il l’a fait, l’appelant n’a pas accordé la priorité à la victime, ce qu’il était tenu de faire. L’appelant a ainsi bien violé gravement plusieurs règles de prudence, ce qu’il ne paraît pas contester, et a commis une faute grossière. Il n’y a pas lieu d’examiner si le motocycliste a commis une faute plus grave que la négligence de l’appelant ; la question n’étant pas de savoir si le premier a commis une faute d’une plus grande gravité, de gravité égale ou de moindre gravité que celle du second, vu l’absence de compensation des fautes en droit pénal (ATF 122 IV 17, consid. 2c/bb ; TF 6B_1295 du 16 juin 2022, consid 2.3.1). La Cour doit bien plutôt examiner si le lien de causalité a été rompu par un comportement fautif de la victime. 4.4 4.4.1 Les deux éléments déterminants pour admettre une rupture du lien de causalité résident dans l’imprévisibilité de la cause concomitante et dans son importance manifestement prépondérante par rapport aux autres facteurs à prendre en considération. En l’occurrence, la vitesse du motocycliste, même à supposer qu’elle eût été excessive, ne permet pas de conclure à un comportement irrationnel de la part d’un usager de la route circulant en motocyclette sur une route cantonale prioritaire en ligne droite avec une bonne visibilité, en milieu de journée et par beau temps. Un dépassement de la vitesse autorisée sur un tronçon rectiligne à une heure de faible circulation ne relève pas d’une circonstance exceptionnelle, extraordinaire, imprévisible et s’imposant à l’esprit comme la cause première de l’accident, contrairement au comportement de l’appelant. Ainsi, si la vitesse – même par hypothèse excessive – du motocycle peut constituer une cause naturelle de l’accident, elle n’en constitue toutefois pas la cause adéquate primant celle de la violation de priorité. 4.4.2 L’appelant relève également que l’accident aurait été évité si la victime avait immédiatement freiné, car elle aurait disposé d’une</w:t>
      </w:r>
    </w:p>
    <w:p>
      <w:r>
        <w:t>- 19 - distance suffisante pour s’arrêter. Il s’en prévaut en reprochant également à la victime une consommation de cannabis qui aurait affecté son discernement. On relèvera d’abord que l’absence de traces de freinage ne signifie pas que la victime n’a pas tenté un freinage d’urgence. En effet, nonobstant cette absence de traces, les images de vidéosurveillance du bus permettent de constater que C.T.________ a bien freiné brusquement puisque l’on voit clairement la roue arrière de la moto se soulever au- dessus du sol juste avant l’impact (pièce à conviction 33077). Pour ce qui est du temps de réaction et de freinage qui pourraient avoir été tardifs, ces éléments peuvent s’expliquer par le fait que le motocycliste, alors qu’il était sur une route longiligne et prioritaire, a été totalement surpris par la manœuvre effectuée par l’appelant, qu’il ne pouvait pas anticiper, qu’il se soit figé ou qu’il ait paniqué, perdant ses moyens. Une réaction différée n’est ainsi pas surprenante dans une telle situation. On relèvera qu’un véhicule circulant à 80 km/h parcours 22.22 mètres par seconde, ce qui signifie qu’il lui faut moins de 5 secondes pour couvrir une distance de 100 mètres. Certes, l’accident aurait certainement été moins grave si la victime avait décéléré avant l’intersection ou à l’apparition du bus, par prudence, mais un freinage tardif n’apparaît pas exceptionnel au point qu’il apparaisse être une faute prépondérante. De même, le fait que le conducteur ait été sous l’influence de stupéfiants, sans que l’expertise ne permettre de déterminer le taux exact de THC que la victime avait dans le sang au moment de l’accident – le CURML ayant précisé qu’une redistribution post-mortem du THC provenant d’une consommation plus ancienne ne pouvait être exclue comme explication de la concentration de cette substance dans le sang de la victime –, n’est pas non plus à ce point insolite et imprévisible qu’il relègue à l’arrière-plan la faute du conducteur et interrompe le lien de causalité entre la faute du conducteur et la mort de la victime. Ainsi, même à retenir que le comportement reproché par l’appelant à la victime constitue une faute, ce qui n’est pas établi, il ne revêt pas un caractère</w:t>
      </w:r>
    </w:p>
    <w:p>
      <w:r>
        <w:t>- 20 - suffisamment extraordinaire pour que l’on doive considérer qu’il s’agit d’une faute prépondérante. A nouveau, le fait de ne pas avoir respecté le « Stop » et la priorité alors que la visibilité n’était pas particulièrement mauvaise comme le soutient l’appelant est bien l’élément factuel décisif dans la survenance de l’accident, à laquelle s’ajoute l’absence d’attention suffisante que l’appelant a porté à l’observation de la situation avant de s’engager. Quant aux supposées fautes de la victime, même cumulées, elles ne seraient quoi qu’il en soit pas suffisamment exceptionnelles ou imprévisibles, pour apparaître comme la cause la plus probable et la plus immédiate de la collision. Aucune rupture du lien de causalité adéquate ne doit ainsi être retenue. 5. 5.1 A titre subsidiaire, l’appelant considère qu’il doit être exempté de toute peine, en application de l’art. 54 CP. Il relève qu’il a été particulièrement affecté par cet accident et devra vivre avec ce fardeau sur sa conscience durant toute sa vie. Il indique souffrir encore de troubles psychologiques sévères depuis, attestés par rapport médical, à savoir différents troubles, notamment des ruminations dépressives, parfois suicidaires, troubles du sommeil et de la concentration, anxiété et angoisses. Il se trouve sous traitement médicamenteux depuis l’évènement du 21 septembre 2020 et est suivi à la consultation de sa psychiatre à raison d’une fois par semaine. Enfin, l’appelant se trouve en incapacité de travail à 100 % depuis le 21 septembre 2020 et son contrat de travail a été résilié avec effets au 28 février 2023. Il considère ainsi que l’accident survenu le 21 septembre 2020 a eu des conséquences dramatiques sur sa vie, tant privée que professionnelle, raison pour</w:t>
      </w:r>
    </w:p>
    <w:p>
      <w:r>
        <w:t>- 21 - laquelle il y aurait lieu d’appliquer l’art. 54 CP et de l’exempter de toute peine.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5.2.2 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w:t>
      </w:r>
    </w:p>
    <w:p>
      <w:r>
        <w:t>- 22 -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2e éd., Bâle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 En cas d'infraction intentionnelle, une réduction de la peine en application de l'art. 54 CP est possible, mais ne doit être admise qu'avec retenue (TF 6B_107/2012 du 25 avril 2012 consid. 3.1 ;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w:t>
      </w:r>
    </w:p>
    <w:p>
      <w:r>
        <w:t>- 23 - grave n'a entraîné que des conséquences légères pour l'auteur. Le juge doit prendre sa décision en analysant in concreto les circonstances du cas et il dispose d'un large pouvoir d'appréciation (TF 6B_515/2019 du</w:t>
      </w:r>
    </w:p>
    <w:p>
      <w:r>
        <w:rPr>
          <w:b/>
        </w:rPr>
        <w:t>E. 6</w:t>
      </w:r>
    </w:p>
    <w:p>
      <w:r>
        <w:t>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w:t>
      </w:r>
    </w:p>
    <w:p>
      <w:r>
        <w:t>- 12 -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11</w:t>
      </w:r>
    </w:p>
    <w:p>
      <w:r>
        <w:t>juin 2019 consid. 2.1 ; cf. TF 6B_442/2014 du 18 juillet 2014 consid. 2.1 ; TF 6B_107/2012 du 25 avril 2012 consid. 3.1 ; cf. ATF 121 IV 162 consid. 2d, JdT 1997 IV 12 ; ATF 117 IV 245 consid. 2a, JdT 1993 IV 96, JdT 1992 I 772, SJ 1992 541). 5.3 En l’espèce, sans remettre en question les troubles psychologiques dont souffre l’appelant depuis l’accident, ceux-ci ne constituent pas de telles atteintes qu’il serait inapproprié de le poursuivre au sens de l’art. 54 CP, qui s’applique uniquement dans des situations exceptionnelles. La faute de l’appelant n’est pas négligeable. En « coulant » le « Stop » avec son bus, alors qu’il savait que l’endroit était dangereux, il a créé un sérieux danger pour la sécurité d’autrui ou en a pris le risque. Le prononcé d’une peine pécuniaire n’est pas choquant au vu de la faute commise et des risques qu’elle pouvait faire courir à des tiers. Ainsi, le fait que l’appelant rencontre des troubles psychiques et qu’il ait subi une incapacité de travail ne constitue pas des conséquences directes suffisamment graves permettant de l’exempter de toute peine. Les infractions routières ont au demeurant souvent des conséquences importantes. En outre, la perte de son emploi est considéré par la jurisprudence comme une conséquence indirecte de l’acte et n’est donc pas pertinent pour évaluer l’application de l’art. 54 CP. Dans l’appréciation de la culpabilité, les premiers juges ont retenu que Z.________ avait été fort affecté par les événements et ont pris en compte qu’il devra vivre avec le fardeau de cet accident tragique sur la conscience, qu’il est suivi médicalement et que cet accident a également eu des répercussions sur sa vie professionnelle. En refusant l’exemption de peine, mais en retenant tout de même les conséquences graves précitées à décharge, le tribunal a correctement appliqué les principes</w:t>
      </w:r>
    </w:p>
    <w:p>
      <w:r>
        <w:t>- 24 - jurisprudentiels rappelés ci-dessus. Ces considérants peuvent donc être repris. La peine de 150 jours-amende infligée à Z.________ est adéquate. Elle est adaptée au vu de la faute commise et des conséquences dramatiques de son geste. Le montant de 60 fr. le jour- amende est approprié au regard de la situation financière de l’intéressé. Cette peine, qui n’est au demeurant pas contestée en soi, doit être confirmée. Les conditions de l’art. 42 al. 1 CP sont réalisées de sorte que la peine sera assortie du sursis avec un délai d’épreuve d’une durée de deux ans. 6. Au vu de ce qui précède, l’appel doit être rejeté et le jugement entrepris confirmé. Me Angelo Ruggiero, conseil juridique gratuit de B.T.________ et A.T.________, a produit une liste des opérations faisant état de 10 heures et 30 minutes d’activité, dont il n’y a pas lieu de s’écarter. Il lui sera ainsi alloué une indemnité s’élevant à 2’205 fr. 50, débours et TVA inclus, correspondant à des honoraires de 1'890 fr. au tarif horaire de 180 fr. (art. 2 al. 1 let. a RAJ [Règlement sur l'assistance judiciaire en matière civile du 7 décembre 2010 ; BLV 211.02.3] par renvoi de l’art. 26b TFIP [Tarif des frais de procédure et indemnités en matière pénale du 28 septembre 2010 ; BLV 312.03.1]), auxquels s’ajoutent des débours forfaitaires de 2 % (art. 3bis RAJ), par 37 fr. 80, une vacation forfaitaire de 120 fr. (art. 3bis al. 3 RAJ) et la TVA sur le tout, par 157 fr. 70. Les frais de la procédure d’appel, par 4'885 fr. 50, constitués des émoluments de jugement, par 1’980 fr. (art. 21 al. 1 TFIP) et d’audience, par 700 fr. (art. 21 al. 2 TFIP), ainsi que de l’indemnité du conseil juridique gratuit des parties plaignantes, seront mis à la charge de Z.________, qui succombe (art. 428 al. 1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