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PE20.016036 vom 12. April 2022</w:t>
      </w:r>
    </w:p>
    <w:p>
      <w:r>
        <w:t>VD Tribunal cantonal, 2022-04-12, FR</w:t>
      </w:r>
    </w:p>
    <w:p>
      <w:r>
        <w:rPr>
          <w:b/>
        </w:rPr>
        <w:t xml:space="preserve">Quelle: </w:t>
      </w:r>
      <w:r>
        <w:t>https://mcp.opencaselaw.ch/entscheid/vd_gerichte_PE20.016036</w:t>
      </w:r>
    </w:p>
    <w:p>
      <w:r>
        <w:t>FR: VD_GERICHTE PE20.016036 du 12 avril 2022</w:t>
      </w:r>
    </w:p>
    <w:p>
      <w:r>
        <w:t>IT: VD_GERICHTE PE20.016036 del 12 aprile 2022</w:t>
      </w:r>
    </w:p>
    <w:p>
      <w:pPr>
        <w:pStyle w:val="Heading2"/>
      </w:pPr>
      <w:r>
        <w:t>Erwägungen</w:t>
      </w:r>
    </w:p>
    <w:p>
      <w:r>
        <w:rPr>
          <w:b/>
        </w:rPr>
        <w:t>E. 1</w:t>
      </w:r>
    </w:p>
    <w:p>
      <w:r>
        <w:t>X.________, titulaire d’un permis B, est née le [...] 1975 au [...], pays dont elle est ressortissante et où elle a suivi sa scolarité obligatoire et achevé une formation d’infirmière. Arrivée en Suisse en 2001, elle a travaillé comme vendeuse dans une station-service, puis dans plusieurs établissements médico-sociaux. Elle travaille actuellement comme aide à domicile pour un salaire mensuel moyen de 2'000 fr., complété par des prestations complémentaires pour familles à hauteur de 1'660 fr. par mois. Le Bureau de recouvrement et d’avances sur pensions alimentaires lui verse 400 fr. par mois pour l’enfant qu’elle a à charge, [...], né le [...] 2016, fils de [...]. Plusieurs actes de défaut de biens ont été délivrés à son encontre. Le 27 juin 2020, X.________ a épousé un compatriote, Y.________, né le [...] 1986, à [...], en France. Ce dernier est titulaire d’un permis de séjour italien de durée indéterminée. Les époux ont divorcé le 24 août 2021.</w:t>
      </w:r>
    </w:p>
    <w:p>
      <w:r>
        <w:t>- 4 - Le casier judiciaire suisse de X.________ comporte les inscriptions suivantes : - 04.03.2016, Ministère public de l’arrondissement de Lausanne : diverses infractions à la LCR ; 60 jours-amende à 40 fr. le jour, avec sursis pendant 2 ans, et amende de 880 fr. ; - 28.08.2017, Ministère public de l’arrondissement de l’Est vaudois : dénonciation calomnieuse ; 90 jours-amende à 40 fr. le jour, avec sursis pendant 2 ans, et amende de 400 francs.</w:t>
      </w:r>
    </w:p>
    <w:p>
      <w:r>
        <w:rPr>
          <w:b/>
        </w:rPr>
        <w:t>E. 1.1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- 5 -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w:t>
      </w:r>
    </w:p>
    <w:p>
      <w:r>
        <w:rPr>
          <w:b/>
        </w:rPr>
        <w:t>E. 3.1</w:t>
      </w:r>
    </w:p>
    <w:p>
      <w:r>
        <w:t>Le Ministère public fait valoir qu’Y.________ était bel et bien en séjour illégal, qu’il a d’ailleurs été condamné pour cela sans opposition de sa part, qu’il ne pouvait pas se prévaloir du titre de séjour italien qu’il avait conservé abusivement, qu’il avait besoin d’un visa pour tout séjour en Suisse et que même si on admettait qu’il pouvait disposer de ce titre de séjour italien, il avait besoin d’une autorisation pour séjourner plus de 90 jours de suite en Suisse, ce qu’il n’avait pas. Or, il résulterait de ses premières déclarations qu’il avait vécu quasiment sans interruption en Suisse. La prévenue devait se douter de cette situation administrative et s’était néanmoins accommodée des séjours illégaux de son compagnon.</w:t>
      </w:r>
    </w:p>
    <w:p>
      <w:r>
        <w:rPr>
          <w:b/>
        </w:rPr>
        <w:t>E. 3.2</w:t>
      </w:r>
    </w:p>
    <w:p>
      <w:r>
        <w:t>Selon l’art. 116 al. 1 let. a LEI (loi fédérale sur les étrangers et l’intégration du 16 décembre 2005 ; RS 142.20),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(TF 6B_60/2018 du 21 décembre 2018 consid. 2.2.1). Il en va ainsi de celui qui héberge un étranger sans</w:t>
      </w:r>
    </w:p>
    <w:p>
      <w:r>
        <w:t>- 6 - autorisation pendant une certaine durée (ATF 130 IV 77 consid. 2.3 ; TF 6B_426/2014 du 18 septembre 2014 consid. 4). A défaut de mention expresse de la négligence, l’incitation au séjour illégal, qui constitue un délit, ne peut être commis qu’intentionnellement ; le dol éventuel suffit (TF 6B_129/2009 du 17 juillet 2009 consid. 2.2 ; Andreas Zünd, Kommentar Migrationsrecht, 5e éd., 2019, n. 4 ad art. 116 LEI).</w:t>
      </w:r>
    </w:p>
    <w:p>
      <w:r>
        <w:rPr>
          <w:b/>
        </w:rPr>
        <w:t>E. 3.3</w:t>
      </w:r>
    </w:p>
    <w:p>
      <w:r>
        <w:t>La situation administrative d’Y.________ est loin d’être évidente. Il a fallu aux Procureur et avocats des prévenus faire des recherches dans de nombreux documents, lois, ordonnances et annexes administratives (P. 12/1, 27, 41, 42, 50, 53 et 67). Si certes Y.________ a retiré son opposition à l’ordonnance pénale du 25 janvier 2022 qui le condamne pour entrée et séjour illégal, on ne peut pas dire pour autant que la situation était limpide pour la prévenue. En effet, celle-ci a constaté que son compagnon passait les frontières sans difficulté, qu’il séjournait en France comme sa mère, qu’il avait pu s’y marier officiellement avec elle et qu’il était porteur d’une autorisation de séjour italienne. Elle pouvait, de bonne foi, se fier aux apparences et penser que son compagnon, s’il n’avait pas de titre de séjour en Suisse, pouvait au moins, comme résident UE, rester 90 jours sur 180 sur le territoire suisse. A la question de savoir combien de temps il passait en Suisse lorsqu’il faisait des allers-retours entre notre pays et la France, il est vrai qu’Y.________ a répondu dans un premier temps qu’il restait en général un mois et demi en Suisse avant de passer quelques jours en France et de revenir en Suisse. Mais ces formules vagues (« en général », « quelques jours ») ne permettent pas de faire un décompte précis. S’il prenait la précaution de quitter régulièrement la Suisse, on peut supposer que c’était justement pour ne pas dépasser le quota admissible. Dans ces conditions, on ne saurait retenir que l’intimée a intentionnellement hébergé Y.________ de manière durable dans le but de lui permettre de se soustraire au pouvoir d'intervention des autorités administratives ou de rendre plus difficile le prononcé ou l'exécution d'une</w:t>
      </w:r>
    </w:p>
    <w:p>
      <w:r>
        <w:t>- 7 - décision à son encontre. Les conditions de l'infraction réprimée par l'art. 116 al. 1 let. a LEI ne sont donc pas réunies.</w:t>
      </w:r>
    </w:p>
    <w:p>
      <w:r>
        <w:rPr>
          <w:b/>
        </w:rPr>
        <w:t>E. 4</w:t>
      </w:r>
    </w:p>
    <w:p>
      <w:r>
        <w:t>Il résulte de ce qui précède que l’appel du Ministère public, manifestement mal fondé, doit être rejeté sans échange d’écritures (art. 390 al. 2 CPP) et le jugement entrepris confirmé. Les frais de la procédure d’appel sont fixés à 660 fr. (art. 20 al. 1 TFIP [tarif des frais de procédure et indemnités en matière pénale du 28 septembre 2010 ; BLV 312.03.1]). Au vu du travail accompli par Me Virginie Rodigari, défenseur d’office de X.________, il sera retenu 3 h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7,7 % de TVA sur le tout, de sorte que l'indemnité d'office s’élève au total à 594 francs. Les frais judiciaires et les frais imputables à la défense d’office, soit 1'254 fr., seront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