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PE20.015833 vom 29. März 2023</w:t>
      </w:r>
    </w:p>
    <w:p>
      <w:r>
        <w:t>VD Tribunal cantonal, 2023-03-29, FR</w:t>
      </w:r>
    </w:p>
    <w:p>
      <w:r>
        <w:rPr>
          <w:b/>
        </w:rPr>
        <w:t xml:space="preserve">Quelle: </w:t>
      </w:r>
      <w:r>
        <w:t>https://mcp.opencaselaw.ch/entscheid/vd_gerichte_PE20.015833</w:t>
      </w:r>
    </w:p>
    <w:p>
      <w:r>
        <w:t>FR: VD_GERICHTE PE20.015833 du 29 mars 2023</w:t>
      </w:r>
    </w:p>
    <w:p>
      <w:r>
        <w:t>IT: VD_GERICHTE PE20.015833 del 29 marzo 2023</w:t>
      </w:r>
    </w:p>
    <w:p>
      <w:pPr>
        <w:pStyle w:val="Heading2"/>
      </w:pPr>
      <w:r>
        <w:t>Volltext</w:t>
      </w:r>
    </w:p>
    <w:p>
      <w:r>
        <w:t>TRIBUNAL CANTONAL 390 PE20.015833/VCR CO UR D’APPEL PENALE ______________________________ Séance du 14 août 2023 __________________ Composition : Mme ROULEAU, présidente Mme Bendani et M. Stoudmann, juges Greffière : Mme Morand ***** Parties à la présente cause : F.________, prévenu et appelant, et MINISTERE PUBLIC, intimé, représenté par le Procureur de l’arrondissement de Lausanne, V.________, partie plaignante, représenté par Me François Canonica, conseil de choix à Genève, intimé. 653</w:t>
      </w:r>
    </w:p>
    <w:p>
      <w:r>
        <w:t>- 2 - La Cour d’appel pénale statue à huis clos sur l’appel formé par F.________ contre le jugement rendu le 29 mars 2023 par le Tribunal de police de l’arrondissement de Lausanne dans la cause le concernant. Elle considère : En fait : A. Par jugement du 29 mars 2023, le Tribunal de police de l’arrondissement de Lausanne a libéré F.________ du chef d’accusation de calomnie (I), a constaté que F.________ s’était rendu coupable de diffamation (II), a condamné F.________ à une peine pécuniaire de 120 jours-amende, le montant du jour-amende étant fixé à 30 fr., avec sursis pendant deux ans (III), a condamné F.________ à une amende de 300 fr. et a dit que celle-ci ferait place à une peine privative de liberté de substitution de trois jours en cas de non-paiement dans le délai imparti (V), a ordonné à F.________ de retirer, dans un délai de cinq jours dès le présent jugement définitif et exécutoire, les articles écrits et publiés les 17 et 29 juin 2020 sur son blog nommé « [...] » ([...]) avec pour titres : « [...] » et « [...] » (V), a refusé d’allouer une indemnité pour tort moral à V.________ (VI), a alloué à V.________ une indemnité fondée sur l’art. 433 CPP (Code de procédure pénale suisse du 5 octobre 2007 ; RS 312.0) de 4’725 fr. à charge de F.________ (VII), a arrêté l’indemnité d’office de Me Sophie Beroud, défenseur de F.________, à 3’220 fr., débours, vacations et TVA compris (VIII) et a mis les frais, par 6’450 fr. 90, à la charge de F.________ et a dit que ceux-ci comprenaient l’indemnité allouée à son défenseur d’office mentionnée sous chiffre VIII ci-dessus, ainsi que celle de son précédent défenseur d’office, Me Zakia Arnouni, par 1’080 fr. 90, ces indemnités, avancées par l’Etat, devant être remboursées par F.________ dès que sa situation financière le lui permettra (IX). B. a) Par annonce du 11 avril 2023, puis déclaration motivée du 19 mai 2023, F.________ a fait appel de ce jugement, en concluant, avec</w:t>
      </w:r>
    </w:p>
    <w:p>
      <w:r>
        <w:t>- 3 - suite de frais et dépens, à son annulation, à ce que la plainte de V.________ soit déclarée irrecevable et à ce que la partie plaignante soit condamnée à lui verser une indemnité. A l’appui de son acte, l’appelant a produit un bordereau de pièces et a requis la production de quatre autres pièces. b) Par courrier du 24 mai 2023, le Ministère public de l’arrondissement de Lausanne (ci-après : le Ministère public) a renoncé à déposer un appel joint dans la présente cause. Il a en outre invoqué la potentielle irrecevabilité de l’appel. c) Par déterminations spontanées du 13 juin 2023, V.________ a conclu au rejet de l’appel. d) Par courrier du 30 juin 2023 adressé à l’appelant, la Présidente de la Cour d’appel pénale a rejeté les réquisitions de preuves, les conditions de l’art. 389 CPP n’étant pas remplies. e) Le 30 juin 2023, la Présidente de la Cour de céans a imparti aux parties un délai au 17 juillet 2023 pour indiquer s’ils consentaient à ce que l’appel soit traité dans le cadre d’une procédure écrite. f) Les 3, 4 et 17 juillet 2023 respectivement, le Ministère public, F.________ et V.________ ont consenti à ce que l’appel soit traité en la forme écrite. g) Par courrier daté du 7 juillet 2023, F.________ a requis que le conseil de choix de V.________ soit dénié de sa capacité de postuler, aux motifs que Me François Canonica et la société [...] auraient des liens avec la famille présidentielle de [...]. h) Par courrier du 14 juillet 2023, le conseil de V.________ a contesté les allégations de F.________, à l’exception de sa qualité d’organe</w:t>
      </w:r>
    </w:p>
    <w:p>
      <w:r>
        <w:t>- 4 - de la société [...], précisant que celle-ci n’aurait toutefois aucun lien avec la République de [...] et la famille présidentielle. i) Par courrier du 18 juillet 2023, le Ministère public a indiqué qu’à supposer que les liens du conseil de V.________ avec la société [...] soient établis, il n’y voyait pas d’empêchement de postuler, dès lors que rien n’indiquait que les intérêts de cette société s’opposeraient en l’occurrence aux intérêts du plaignant, qui a été personnellement atteint par les infractions. j) Le 21 juillet 2023, la Présidente de la Cour de céans a informé les parties que l’appel serait traité en procédure écrite et a imparti un délai au 4 août 2023 à F.________ pour déposer un éventuel mémoire complémentaire. Elle a par ailleurs informé F.________ que sa requête du 7 juillet 2023 était rejetée. k) Par courrier du 24 juillet 2023, F.________ a requis d’autres mesures d’instruction, à savoir la production de documents d’achats des avions « qui seraient en mains des autres entités » ou une perquisition chez les revendeurs de ces appareils (P. 78). l) Par courrier du 26 juillet 2023, la Présidente de la Cour de céans a rejeté les nouvelles réquisitions de preuve d’F.________, les conditions de l’art. 389 CPP n’étant pas remplies. m) Le 3 août 2023, F.________ a produit un mémoire complémentaire, par lequel il a maintenu les conclusions prises au pied de son appel. C. Les faits retenus sont les suivants : 1. F.________ est né le [...] 1973 à [...]. Il est arrivé en Suisse en 2008, à ses dires après avoir fait l’objet de fausses accusations, avoir été arrêté arbitrairement par les autorités [...] et avoir dû s’exiler en Ethiopie durant deux ans. Sa demande d’asile déposée en 2008 a été admise et il</w:t>
      </w:r>
    </w:p>
    <w:p>
      <w:r>
        <w:t>- 5 - n’a depuis lors plus quitté la Suisse, le prévenu disposant aujourd’hui d’un permis C. F.________ allègue ne pas avoir demandé la nationalité suisse, car il a toujours l’intention de retourner vivre à [...]. Séparé, il est père de trois enfants, aujourd’hui majeurs, qui vivent tous en Suisse. Au niveau professionnel, il dit rechercher activement du travail dans le domaine de la comptabilité, en vain, et survit grâce au Revenu d’insertion. Opposant au régime politique en place à [...], il est le créateur, l’animateur et le rédacteur d’un blog intitulé « [...] » ([...]) sur lequel il publie et/ou reproduit des articles ayant notamment trait à la politique menée dans la corne de l’Afrique. L’extrait du casier judiciaire suisse de F.________ ne comporte aucune inscription. 2. A [...], chemin [...], le 17 juin 2020, F.________ a rédigé un article intitulé « [...] », qu’il a ensuite publié sur son blog nommé « [...] » ([...]). Dans cet écrit, F.________ a notamment accusé V.________ d’avoir des relations intimes extra-conjugales ainsi que d’être impliqué dans un important trafic de drogues par le biais de sa société N.________, active dans le transport aérien. Le 29 juin 2020, F.________ a réitéré ses propos lors de la publication d’un nouvel article intitulé « [...] », dans lequel il a dénoncé, une nouvelle fois sans fondement, l’implication de V.________ dans un trafic de drogue. A cet égard, il lui a notamment reproché de mettre à disposition les aéronefs de sa société, afin de permettre le transport de cocaïne ainsi que d’avoir escroqué les contribuables [...]. Le 9 septembre 2021, V.________ a déposé plainte et s’est constitué partie civile. En d roit : 1.</w:t>
      </w:r>
    </w:p>
    <w:p>
      <w:r>
        <w:t>- 6 - 1.1 Interjeté dans les formes et délais légaux (art. 399 CPP), par une partie ayant qualité pour recourir (art. 382 al. 1 CPP), contre le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 citées). 3. 3.1 A titre de mesure d’instruction, l’appelant requiert la production, en mains du conseil de choix de V.________, du document mentionnant le numéro de recommandé de la plainte expédiée de [...], ainsi que de la procuration originale attestant de ses pouvoirs, et, en mains de V.________, des documents prouvant qu’il serait propriétaire des trois avions dont il serait question en procédure et de l’ordonnance de classement ou du jugement qui l’acquitterait dans le cadre de la procédure ouverte par le [...] en lien avec des biens mal acquis. Il</w:t>
      </w:r>
    </w:p>
    <w:p>
      <w:r>
        <w:t>- 7 - demande aussi la production de documents relatifs à l’achat de ces avions. 3.2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 3.3 En l’occurrence, les productions requises ne sont pas utiles au traitement de l’appel, dès lors qu’elles ne sont pas de nature à modifier l’appréciation de la Cour de céans quant à la recevabilité de la plainte et au résultat des preuves déjà administrées, le dossier contenant tous les éléments qui permettent de statuer en droit. En conséquence, les réquisitions de l’appelant doivent être rejetées. 4.</w:t>
      </w:r>
    </w:p>
    <w:p>
      <w:r>
        <w:t>- 8 - 4.1 L’appelant soutient tout d’abord que la plainte n’émanerait pas de V.________ et qu’elle serait dès lors irrecevable. Il relève à ce titre que la signature du plaignant serait différente de celle apposée sur d’autres documents et qu’il serait impossible que la plainte ait été expédiée depuis [...], compte tenu, selon lui, du temps trop court qui se serait écoulé entre la signature de la plainte et la réception de celle-ci en Suisse. Il relève en outre que le conseil du plaignant n’aurait produit aucune procuration. 4.2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Le dépôt de plainte par l’intermédiaire d’une personne autorisée, au moyen d’une procuration, à l’image de celle signée par un avocat, est également possible (Berset Hemmer, in : Jeanneret/Kuhn/Perrier Depeursinge [éd.], Code de procédure pénale suisse, Commentaire romand, 2e éd., Bâle 2019, n. 3 ad art. 304 CPP). Lorsqu’une plainte a été déposée sans pouvoir de représentation, elle peut être ratifiée ultérieurement. Il n’est alors pas nécessaire qu’elle soit ratifiée dans le délai de trois mois prescrit par l’art. 31 CP (CAPE 14 juin 2021/216). 4.3 En l’espèce, contrairement à ce que soutient l’appelant, la signature du plaignant sur la plainte est similaire à celle qui figure sur toutes les pièces du dossier (cf. P. 5, 64/9 et 64/17 ; jugement, p. 10). Le fait qu’elle ne soit pas rigoureusement identique, comme si elle était photocopiée, n’a rien d’anormal et on ne saurait en déduire qu’il s’agit d’un faux. Par ailleurs, la procuration est contenue dans le texte de la plainte en dernière page et elle a été confirmée lors de l’audition du plaignant à l’audience du Tribunal de police. En outre, déterminer si la plainte a bien été expédiée de [...] est sans importance, l’essentiel étant qu’elle a été déposée en temps utile, ce qui est le cas en l’espèce.</w:t>
      </w:r>
    </w:p>
    <w:p>
      <w:r>
        <w:t>- 9 - Au vu de ces éléments, il n’y a donc pas matière à constater l’irrecevabilité de la plainte. 5. L’appelant se plaint d’une prétendue partialité du Ministère public. Il soutient que le procureur en charge du dossier aurait rédigé un faux procès-verbal. Toutefois, il fait référence au procès-verbal d’audition du 25 février 2021, à savoir la déposition du conseil de choix de V.________ en lien avec l’altercation qui s’est déroulée le 25 février 2021 entre les parties dans la salle d’attente du Ministère public, que le procureur a décidé de retrancher à la demande de l’ancien défenseur d’office du prévenu (cf. P. 11), à bien plaire, son contenu n’ayant aucun lien avec l’enquête dirigée contre l’appelant (cf. courrier du 14 avril 2021 du Ministère public ; P. 12). Aucun manquement ne peut dès lors être retenu à l’égard du Ministère public. 6. L’appelant soutient que le conseil du plaignant serait confronté à un conflit entre les intérêts du plaignant et les siens, en sa qualité d’organe d’une société impliquée dans l’achat des avions litigieux. L’existence d’un conflit d’intérêts n’est cependant pas établie. 7. 7.1 L’appelant se plaint ensuite d’une constatation incomplète ou erronée des faits, en raison des prétendues carences de son ancien défenseur d’office dans l’exercice de son mandat et de mensonges du plaignant, de même que d’arbitraire dans l’appréciation des preuves. Il reprend à ce titre ses allégations litigieuses, ainsi que d’autres, notamment liées à de prétendus trafics d’armes, d’assassinats de tout opposant, de viol et de mensonges au sujet des avions. Il se prévaut des éléments du dossier et des pièces nouvelles qu’il a produites en appel, dont il estime qu’elles établissent la vérité de ses dires.</w:t>
      </w:r>
    </w:p>
    <w:p>
      <w:r>
        <w:t>- 10 - 7.2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 individu honorable, c’est-à-dire de se comporter comme une personne digne a coutume de le faire selon les conceptions généralement reçues. Il</w:t>
      </w:r>
    </w:p>
    <w:p>
      <w:r>
        <w:t>- 11 -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 citées). Pour apprécier si une déclaration est attentatoire à l’honneur, il faut procéder à une interprétation objective selon le sens que le destinataire non prévenu devait, dans les circonstances d’espèce, lui attribuer (ATF 148 IV 409 consid. 2.3.2 ; ATF 137 IV 313 précité consid. 2.1.3). Il y a toujours atteinte à l’honneur lorsqu’on évoque une infraction pénale ou un comportement clairement réprouvé par les conceptions morales généralement admises (ATF 148 IV 409 précité consid. 2.3 ; ATF 145 IV 462 précité consid. 4.2.2). Pour qu’il y ait diffamation ou calomnie, il faut que l’auteur s’adresse à un tiers. Est en principe considérée comme tiers toute personne autre que l’auteur et l’objet des propos qui portent atteinte à l’honneur (ATF 145 IV 462 précité consid. 4.3.3). Du point de vue subjectif, l’art. 173 ch. 1 CP exige que l’auteur ait eu conscience du caractère attentatoire à l’honneur de ses propos et qu’il les ait néanmoins proférés ; il n’est pas nécessaire qu’il ait eu la</w:t>
      </w:r>
    </w:p>
    <w:p>
      <w:r>
        <w:t>- 12 - volonté de blesser la personne visée (ATF 137 IV 313 précité consid. 2.1.6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réf. citées ; Dupuis et al. [éd.], Code pénal, Petit commentaire, 2e éd., Bâle 2017, n. 30 ad art. 173 CP et les réf.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du 15 janvier 2020 consid. 1.2).</w:t>
      </w:r>
    </w:p>
    <w:p>
      <w:r>
        <w:t>- 13 - 7.3 En l’occurrence, le premier juge a considéré que l’infraction de calomnie devait être exclue, dès lors qu’il n’était pas établi que le prévenu connaissait la fausseté de ses affirmations attentatoires à l’honneur. En revanche, l’infraction de diffamation devait être retenue, le prévenu ne devant pas être admis à apporter la preuve de la vérité s’agissant des allégations en lien avec les prétendues relations extraconjugales, dès lors qu’elles avaient été rédigées ou propagées principalement dans le dessein de dire du mal du plaignant. S’agissant des allégations concernant le prétendu trafic de cocaïne, le tribunal a retenu que l’appelant n’avait pas réussi à apporter la preuve de la vérité. 7.4 A l’instar du premier juge, la Cour de céans constate que le prévenu n’a pas réussi à faire la preuve de la vérité. Les pièces produites au dossier consistent pour l’essentiel en des fiches et autres articles écrits par des sources dont le sérieux ne peut être vérifié – lorsqu’elles sont identifiées. En outre, la plupart d’entre elles mentionnent le président et non son beau-fils, V.________. Il ne ressort pas des pièces produites au dossier une prétendue participation de ce dernier à un trafic de stupéfiants. Par ailleurs, comme l’a relevé le premier juge, les parallèles faits par l’appelant entre le trafic de drogue, l’achat d’avions par l’Etat de [...] et l’enquête menée en [...] par le [...] – qui aux propres dires du prévenu ne porte pourtant pas sur du trafic de drogue mais sur du blanchiment de biens immobiliers mal acquis, ce qui est du reste corroboré par l’article du journal le Figaro versé au dossier – demeurent incompréhensibles. Les pièces nouvelles produites ne prouvent pas davantage l’implication du plaignant dans un trafic de drogue. L’appelant échoue donc une nouvelle fois, et ce malgré la production de nouvelles pièces au dossier, à apporter la preuve de la vérité. Au vu de ce qui précède, c’est à bon droit que le premier juge a condamné le prévenu pour diffamation. 8.</w:t>
      </w:r>
    </w:p>
    <w:p>
      <w:r>
        <w:t>- 14 - 8.1 L’appelant ne conteste pas la peine prononcée à son encontre. Celle-ci doit toutefois être vérifiée d’office. 8.2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6B_631/2021 du 7 février 2022 consid. 1.1). 8.3 Comme l’a retenu le Tribunal de police, compte tenu des actes commis et de l’absence d’introspection et d’amendement du prévenu, celui-ci persistant jusqu’à la procédure d’appel à tenter de justifier des allégations attentatoires à l’honneur du plaignant, sans que le contexte politique ne le justifie, et n’ayant jamais jugé bon de retirer les articles litigieux ou leur lien sur son blog, la culpabilité de F.________ est sérieuse. Une peine pécuniaire apparaît adéquate pour sanctionner le comportement du prévenu. La quotité de celle-ci, arrêtée à 120 jours à 30 fr., est adéquate. Le prévenu n’ayant pas d’antécédent et paraissant malgré tout être en mesure de comprendre le sens d’une peine prononcée</w:t>
      </w:r>
    </w:p>
    <w:p>
      <w:r>
        <w:t>- 15 - avec sursis, celui-ci doit lui être accordé, avec un délai d’épreuve de deux ans. Enfin, l’amende de 300 fr., convertible en une peine privative de liberté de substitution de trois jours, à titre de sanction immédiate, est justifiée et sera confirmée. 9. La condamnation de l’appelant étant confirmée, ses conclusions accessoires relatives aux frais et indemnités deviennent sans objet. 10. Il résulte de ce qui précède que l’appel, manifestement mal fondé, doit être rejeté sans échange d’écritures (art. 390 al. 2 CPP par renvoi de l’art. 406 al. 4 CPP) et le jugement entrepris confirmé. Les frais de la procédure d’appel, par 1’540 fr. (art. 21 al. 1 TFIP [tarif des frais de procédure et indemnités en matière pénale du 28 septembre 2010 ; BLV 312.03.1]), seront mis à la charge de l’appelant, qui succombe (art. 428 al. 1 CPP). Par ces motifs, la Cour d’appel pénale, en application des art. 30 ss, 34, 42 al. 1 et 4, 44 al. 1, 47, 50, 106 et 173 ch. 1 CP ; 398ss CPP : prononce : I. L’appel est rejeté. II. Le jugement rendu le 29 mars 2023 par le Tribunal de police de l’arrondissement de Lausanne est confirmé, selon le dispositif suivant : « I. libère F.________ du chef d’accusation de calomnie ; II. constate que F.________ s’est rendu coupable de diffamation ;</w:t>
      </w:r>
    </w:p>
    <w:p>
      <w:r>
        <w:t>- 16 - III. condamne F.________ à une peine pécuniaire de 120 (cent- vingt) jours-amende, le montant du jour-amende étant fixé à 30 fr. (trente francs), avec sursis pendant 2 (deux) ans ; IV. condamne F.________ à une amende de 300 fr. (trois cents francs) et dit que celle-ci fera place à une peine privative de liberté de substitution de 3 (trois) jours en cas de non- paiement dans le délai imparti ; V. ordonne à F.________ de retirer, dans un délai de 5 (cinq) jours dès le présent jugement définitif et exécutoire, les articles écrits et publiés les 17 et 29 juin 2020 sur son blog nommé « [...]» ([...]) avec pour titres : « [...]» et « [...]» ; VI. refuse d’allouer une indemnité pour tort moral à V.________ ; VII. alloue à V.________ une indemnité fondée sur l’art. 433 CPP de 4’725 fr. (quatre mille sept-cent vingt-cinq francs), à charge de F.________ ; VIII. arrêt l’indemnité d’office de Me Sophie Beroud, défenseur de F.________, à 3’220 fr. (trois mille deux cent vingt francs), débours, vacations et TVA compris ; IX. met les frais, par 6’450 fr. 90, à la charge de F.________ et dit que ceux-ci comprennent l’indemnité allouée à son défenseur d’office mentionnée sous chiffre VIII ci-dessus ainsi que celle de son précédent défenseur d’office, Me Zakia Arnouni, par 1’080 fr. 90, ces indemnités, avancées par l’Etat, devant être remboursées par F.________ dès que sa situation financière le lui permettra. ». III. Les frais d’appel, par 1’540 fr. (mille cinq cent quarante francs), sont mis à la charge de F.________. IV. Le présent jugement est exécutoire.</w:t>
      </w:r>
    </w:p>
    <w:p>
      <w:r>
        <w:t>- 17 - La présidente : La greffière : Du Le jugement qui précède, dont la rédaction a été approuvée à huis clos, est notifié, par l’envoi d’une copie complète, à : - F.________, - Me François Canonica, avocat (pour V.________), - Ministère public central, et communiqué à : - M. le Président du Tribunal de police de l’arrondissement de Lausanne, - M. le Procureur du Ministère public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